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FAD4A" w14:textId="77777777" w:rsidR="0010207E" w:rsidRDefault="0010207E"/>
    <w:tbl>
      <w:tblPr>
        <w:tblpPr w:leftFromText="180" w:rightFromText="180" w:bottomFromText="160" w:vertAnchor="text" w:horzAnchor="margin" w:tblpY="-502"/>
        <w:tblW w:w="10060" w:type="dxa"/>
        <w:tblCellMar>
          <w:left w:w="0" w:type="dxa"/>
          <w:right w:w="0" w:type="dxa"/>
        </w:tblCellMar>
        <w:tblLook w:val="04A0" w:firstRow="1" w:lastRow="0" w:firstColumn="1" w:lastColumn="0" w:noHBand="0" w:noVBand="1"/>
      </w:tblPr>
      <w:tblGrid>
        <w:gridCol w:w="3823"/>
        <w:gridCol w:w="6237"/>
      </w:tblGrid>
      <w:tr w:rsidR="0010207E" w:rsidRPr="0010207E" w14:paraId="2715E46E" w14:textId="77777777" w:rsidTr="0010207E">
        <w:tc>
          <w:tcPr>
            <w:tcW w:w="3823" w:type="dxa"/>
          </w:tcPr>
          <w:p w14:paraId="2E418250" w14:textId="77777777" w:rsidR="0010207E" w:rsidRPr="0010207E" w:rsidRDefault="0010207E" w:rsidP="0010207E">
            <w:pPr>
              <w:widowControl w:val="0"/>
              <w:tabs>
                <w:tab w:val="right" w:pos="7920"/>
              </w:tabs>
              <w:jc w:val="center"/>
              <w:rPr>
                <w:rFonts w:eastAsia="Courier New"/>
                <w:b/>
                <w:sz w:val="26"/>
                <w:szCs w:val="26"/>
                <w:lang w:val="vi-VN"/>
              </w:rPr>
            </w:pPr>
            <w:r w:rsidRPr="0010207E">
              <w:rPr>
                <w:rFonts w:eastAsia="Calibri"/>
                <w:noProof/>
                <w:sz w:val="28"/>
                <w:szCs w:val="22"/>
              </w:rPr>
              <mc:AlternateContent>
                <mc:Choice Requires="wps">
                  <w:drawing>
                    <wp:anchor distT="0" distB="0" distL="114300" distR="114300" simplePos="0" relativeHeight="251661312" behindDoc="0" locked="0" layoutInCell="1" allowOverlap="1" wp14:anchorId="7191A990" wp14:editId="7C22E4AE">
                      <wp:simplePos x="0" y="0"/>
                      <wp:positionH relativeFrom="column">
                        <wp:posOffset>661670</wp:posOffset>
                      </wp:positionH>
                      <wp:positionV relativeFrom="paragraph">
                        <wp:posOffset>231775</wp:posOffset>
                      </wp:positionV>
                      <wp:extent cx="1039495" cy="0"/>
                      <wp:effectExtent l="0" t="0" r="0" b="0"/>
                      <wp:wrapNone/>
                      <wp:docPr id="7"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noFill/>
                              <a:ln w="12700" cap="flat" cmpd="sng">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7762478A" id="直线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" strokeweight="1pt">
                      <v:stroke joinstyle="miter"/>
                      <o:lock v:ext="edit" shapetype="f"/>
                    </v:line>
                  </w:pict>
                </mc:Fallback>
              </mc:AlternateContent>
            </w:r>
            <w:bookmarkStart w:id="0" w:name="bookmark=id.gjdgxs"/>
            <w:bookmarkEnd w:id="0"/>
            <w:r w:rsidRPr="0010207E">
              <w:rPr>
                <w:rFonts w:eastAsia="Courier New"/>
                <w:b/>
                <w:sz w:val="26"/>
                <w:szCs w:val="26"/>
                <w:lang w:val="vi-VN"/>
              </w:rPr>
              <w:t>BỘ GIÁO DỤC VÀ ĐÀO TẠO</w:t>
            </w:r>
          </w:p>
          <w:p w14:paraId="22310045" w14:textId="77777777" w:rsidR="0010207E" w:rsidRPr="0010207E" w:rsidRDefault="0010207E" w:rsidP="0010207E">
            <w:pPr>
              <w:widowControl w:val="0"/>
              <w:tabs>
                <w:tab w:val="right" w:pos="7920"/>
              </w:tabs>
              <w:rPr>
                <w:bCs/>
                <w:sz w:val="28"/>
                <w:szCs w:val="28"/>
                <w:lang w:val="vi-VN"/>
              </w:rPr>
            </w:pPr>
          </w:p>
          <w:p w14:paraId="4CE41C4D" w14:textId="7AADCECD" w:rsidR="0010207E" w:rsidRPr="0010207E" w:rsidRDefault="0010207E" w:rsidP="0010207E">
            <w:pPr>
              <w:widowControl w:val="0"/>
              <w:tabs>
                <w:tab w:val="right" w:pos="7920"/>
              </w:tabs>
              <w:jc w:val="center"/>
              <w:rPr>
                <w:bCs/>
                <w:sz w:val="28"/>
                <w:szCs w:val="28"/>
              </w:rPr>
            </w:pPr>
            <w:r w:rsidRPr="0010207E">
              <w:rPr>
                <w:bCs/>
                <w:sz w:val="28"/>
                <w:szCs w:val="28"/>
                <w:lang w:val="vi-VN"/>
              </w:rPr>
              <w:t>Số</w:t>
            </w:r>
            <w:r w:rsidRPr="0010207E">
              <w:rPr>
                <w:bCs/>
                <w:sz w:val="28"/>
                <w:szCs w:val="28"/>
              </w:rPr>
              <w:t>:</w:t>
            </w:r>
            <w:r w:rsidR="00044C6B">
              <w:rPr>
                <w:bCs/>
                <w:sz w:val="28"/>
                <w:szCs w:val="28"/>
              </w:rPr>
              <w:t xml:space="preserve"> 866</w:t>
            </w:r>
            <w:r w:rsidRPr="0010207E">
              <w:rPr>
                <w:bCs/>
                <w:sz w:val="28"/>
                <w:szCs w:val="28"/>
                <w:lang w:val="vi-VN"/>
              </w:rPr>
              <w:t>/</w:t>
            </w:r>
            <w:r w:rsidRPr="0010207E">
              <w:rPr>
                <w:bCs/>
                <w:sz w:val="28"/>
                <w:szCs w:val="28"/>
              </w:rPr>
              <w:t>BC-</w:t>
            </w:r>
            <w:r w:rsidRPr="0010207E">
              <w:rPr>
                <w:bCs/>
                <w:sz w:val="28"/>
                <w:szCs w:val="28"/>
                <w:lang w:val="vi-VN"/>
              </w:rPr>
              <w:t>BGDĐT</w:t>
            </w:r>
          </w:p>
          <w:p w14:paraId="661E8984" w14:textId="77777777" w:rsidR="0010207E" w:rsidRPr="0010207E" w:rsidRDefault="0010207E" w:rsidP="0010207E">
            <w:pPr>
              <w:widowControl w:val="0"/>
              <w:tabs>
                <w:tab w:val="right" w:pos="7920"/>
              </w:tabs>
              <w:rPr>
                <w:bCs/>
              </w:rPr>
            </w:pPr>
          </w:p>
        </w:tc>
        <w:tc>
          <w:tcPr>
            <w:tcW w:w="6237" w:type="dxa"/>
          </w:tcPr>
          <w:p w14:paraId="3C8E7B19" w14:textId="77777777" w:rsidR="0010207E" w:rsidRPr="0010207E" w:rsidRDefault="0010207E" w:rsidP="0010207E">
            <w:pPr>
              <w:widowControl w:val="0"/>
              <w:ind w:firstLine="34"/>
              <w:jc w:val="center"/>
              <w:rPr>
                <w:rFonts w:eastAsia="Courier New"/>
                <w:b/>
                <w:sz w:val="26"/>
                <w:szCs w:val="26"/>
                <w:lang w:val="vi-VN"/>
              </w:rPr>
            </w:pPr>
            <w:r w:rsidRPr="0010207E">
              <w:rPr>
                <w:rFonts w:eastAsia="Courier New"/>
                <w:b/>
                <w:sz w:val="26"/>
                <w:szCs w:val="26"/>
                <w:lang w:val="vi-VN"/>
              </w:rPr>
              <w:t>CỘNG HÒA XÃ HỘI CHỦ NGHĨA VIỆT NAM</w:t>
            </w:r>
          </w:p>
          <w:p w14:paraId="4115485F" w14:textId="77777777" w:rsidR="0010207E" w:rsidRPr="0010207E" w:rsidRDefault="0010207E" w:rsidP="0010207E">
            <w:pPr>
              <w:widowControl w:val="0"/>
              <w:ind w:firstLine="34"/>
              <w:jc w:val="center"/>
              <w:rPr>
                <w:rFonts w:eastAsia="Courier New"/>
                <w:b/>
                <w:sz w:val="28"/>
                <w:szCs w:val="28"/>
                <w:lang w:val="vi-VN"/>
              </w:rPr>
            </w:pPr>
            <w:r w:rsidRPr="0010207E">
              <w:rPr>
                <w:rFonts w:eastAsia="Courier New"/>
                <w:b/>
                <w:sz w:val="28"/>
                <w:szCs w:val="28"/>
                <w:lang w:val="vi-VN"/>
              </w:rPr>
              <w:t>Độc lập – Tự do – Hạnh phúc</w:t>
            </w:r>
          </w:p>
          <w:p w14:paraId="688639A1" w14:textId="77777777" w:rsidR="0010207E" w:rsidRPr="0010207E" w:rsidRDefault="0010207E" w:rsidP="0010207E">
            <w:pPr>
              <w:widowControl w:val="0"/>
              <w:ind w:firstLine="34"/>
              <w:jc w:val="center"/>
              <w:rPr>
                <w:bCs/>
                <w:i/>
                <w:iCs/>
                <w:sz w:val="28"/>
                <w:szCs w:val="28"/>
                <w:lang w:val="vi-VN"/>
              </w:rPr>
            </w:pPr>
            <w:r w:rsidRPr="0010207E">
              <w:rPr>
                <w:rFonts w:eastAsia="Calibri"/>
                <w:noProof/>
                <w:sz w:val="28"/>
                <w:szCs w:val="22"/>
              </w:rPr>
              <mc:AlternateContent>
                <mc:Choice Requires="wps">
                  <w:drawing>
                    <wp:anchor distT="0" distB="0" distL="114300" distR="114300" simplePos="0" relativeHeight="251662336" behindDoc="0" locked="0" layoutInCell="1" allowOverlap="1" wp14:anchorId="61ABF2A7" wp14:editId="285C16C2">
                      <wp:simplePos x="0" y="0"/>
                      <wp:positionH relativeFrom="column">
                        <wp:posOffset>942975</wp:posOffset>
                      </wp:positionH>
                      <wp:positionV relativeFrom="paragraph">
                        <wp:posOffset>64135</wp:posOffset>
                      </wp:positionV>
                      <wp:extent cx="2172970" cy="0"/>
                      <wp:effectExtent l="0" t="0" r="0" b="0"/>
                      <wp:wrapNone/>
                      <wp:docPr id="2"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970" cy="0"/>
                              </a:xfrm>
                              <a:prstGeom prst="line">
                                <a:avLst/>
                              </a:prstGeom>
                              <a:noFill/>
                              <a:ln w="12700" cap="flat" cmpd="sng">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740E5C20" id="直线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5.05pt" to="245.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" strokeweight="1pt">
                      <v:stroke joinstyle="miter"/>
                      <o:lock v:ext="edit" shapetype="f"/>
                    </v:line>
                  </w:pict>
                </mc:Fallback>
              </mc:AlternateContent>
            </w:r>
          </w:p>
          <w:p w14:paraId="005DBC85" w14:textId="45357450" w:rsidR="0010207E" w:rsidRPr="0010207E" w:rsidRDefault="0010207E" w:rsidP="0010207E">
            <w:pPr>
              <w:widowControl w:val="0"/>
              <w:ind w:firstLine="34"/>
              <w:jc w:val="center"/>
              <w:rPr>
                <w:bCs/>
                <w:i/>
                <w:iCs/>
                <w:sz w:val="28"/>
                <w:szCs w:val="28"/>
                <w:lang w:val="vi-VN"/>
              </w:rPr>
            </w:pPr>
            <w:r w:rsidRPr="0010207E">
              <w:rPr>
                <w:bCs/>
                <w:i/>
                <w:iCs/>
                <w:sz w:val="28"/>
                <w:szCs w:val="28"/>
                <w:lang w:val="vi-VN"/>
              </w:rPr>
              <w:t xml:space="preserve">Hà Nội, ngày </w:t>
            </w:r>
            <w:r w:rsidR="00044C6B">
              <w:rPr>
                <w:bCs/>
                <w:i/>
                <w:iCs/>
                <w:sz w:val="28"/>
                <w:szCs w:val="28"/>
              </w:rPr>
              <w:t xml:space="preserve">19 </w:t>
            </w:r>
            <w:r w:rsidRPr="0010207E">
              <w:rPr>
                <w:bCs/>
                <w:i/>
                <w:iCs/>
                <w:sz w:val="28"/>
                <w:szCs w:val="28"/>
                <w:lang w:val="vi-VN"/>
              </w:rPr>
              <w:t xml:space="preserve"> tháng </w:t>
            </w:r>
            <w:r w:rsidR="00044C6B">
              <w:rPr>
                <w:bCs/>
                <w:i/>
                <w:iCs/>
                <w:sz w:val="28"/>
                <w:szCs w:val="28"/>
              </w:rPr>
              <w:t>07</w:t>
            </w:r>
            <w:r w:rsidRPr="0010207E">
              <w:rPr>
                <w:bCs/>
                <w:i/>
                <w:iCs/>
                <w:sz w:val="28"/>
                <w:szCs w:val="28"/>
                <w:lang w:val="vi-VN"/>
              </w:rPr>
              <w:t xml:space="preserve"> năm 2024</w:t>
            </w:r>
          </w:p>
        </w:tc>
      </w:tr>
    </w:tbl>
    <w:p w14:paraId="3FAE7A50" w14:textId="77777777" w:rsidR="0010207E" w:rsidRPr="0010207E" w:rsidRDefault="0010207E" w:rsidP="0010207E">
      <w:pPr>
        <w:widowControl w:val="0"/>
        <w:tabs>
          <w:tab w:val="right" w:pos="7920"/>
        </w:tabs>
        <w:jc w:val="center"/>
        <w:rPr>
          <w:b/>
          <w:sz w:val="28"/>
          <w:szCs w:val="28"/>
        </w:rPr>
      </w:pPr>
      <w:r w:rsidRPr="0010207E">
        <w:rPr>
          <w:b/>
          <w:sz w:val="28"/>
          <w:szCs w:val="28"/>
        </w:rPr>
        <w:t>BÁO CÁO</w:t>
      </w:r>
    </w:p>
    <w:p w14:paraId="23973664" w14:textId="331EA9D4" w:rsidR="0010207E" w:rsidRPr="0010207E" w:rsidRDefault="0010207E" w:rsidP="0010207E">
      <w:pPr>
        <w:widowControl w:val="0"/>
        <w:tabs>
          <w:tab w:val="right" w:pos="7920"/>
        </w:tabs>
        <w:jc w:val="center"/>
        <w:rPr>
          <w:b/>
          <w:sz w:val="28"/>
          <w:szCs w:val="28"/>
          <w:lang w:val="pt-BR"/>
        </w:rPr>
      </w:pPr>
      <w:r w:rsidRPr="0010207E">
        <w:rPr>
          <w:b/>
          <w:sz w:val="28"/>
          <w:szCs w:val="28"/>
          <w:lang w:val="vi-VN"/>
        </w:rPr>
        <w:t>Đánh giá tác động thủ tục hành chính quy định tại</w:t>
      </w:r>
      <w:r w:rsidRPr="0010207E">
        <w:rPr>
          <w:b/>
          <w:sz w:val="28"/>
          <w:szCs w:val="28"/>
          <w:lang w:val="pt-BR"/>
        </w:rPr>
        <w:t xml:space="preserve"> dự án Luật Nhà giáo</w:t>
      </w:r>
    </w:p>
    <w:p w14:paraId="5573C82C" w14:textId="66A1BF6F" w:rsidR="0010207E" w:rsidRPr="0010207E" w:rsidRDefault="0010207E" w:rsidP="0010207E">
      <w:pPr>
        <w:widowControl w:val="0"/>
        <w:tabs>
          <w:tab w:val="right" w:pos="7920"/>
        </w:tabs>
        <w:jc w:val="center"/>
        <w:rPr>
          <w:i/>
          <w:sz w:val="28"/>
          <w:szCs w:val="28"/>
        </w:rPr>
      </w:pPr>
      <w:r w:rsidRPr="0010207E">
        <w:rPr>
          <w:i/>
          <w:sz w:val="28"/>
          <w:szCs w:val="28"/>
        </w:rPr>
        <w:t xml:space="preserve">(Tài liệu kèm theo hồ sơ gửi Bộ Tư pháp </w:t>
      </w:r>
      <w:bookmarkStart w:id="1" w:name="_GoBack"/>
      <w:bookmarkEnd w:id="1"/>
      <w:r w:rsidRPr="0010207E">
        <w:rPr>
          <w:i/>
          <w:sz w:val="28"/>
          <w:szCs w:val="28"/>
        </w:rPr>
        <w:t>thẩm định dự án Luật Nhà giáo)</w:t>
      </w:r>
    </w:p>
    <w:p w14:paraId="4138F0CE" w14:textId="483A2651" w:rsidR="00B142A2" w:rsidRPr="0010207E" w:rsidRDefault="00DB5D89" w:rsidP="0010207E">
      <w:pPr>
        <w:jc w:val="center"/>
        <w:rPr>
          <w:rFonts w:asciiTheme="majorHAnsi" w:hAnsiTheme="majorHAnsi" w:cstheme="majorHAnsi"/>
          <w:i/>
          <w:iCs/>
        </w:rPr>
      </w:pPr>
      <w:r w:rsidRPr="0010207E">
        <w:rPr>
          <w:rFonts w:asciiTheme="majorHAnsi" w:hAnsiTheme="majorHAnsi" w:cstheme="majorHAnsi"/>
          <w:i/>
          <w:iCs/>
          <w:noProof/>
        </w:rPr>
        <mc:AlternateContent>
          <mc:Choice Requires="wps">
            <w:drawing>
              <wp:anchor distT="0" distB="0" distL="114300" distR="114300" simplePos="0" relativeHeight="251659264" behindDoc="0" locked="0" layoutInCell="1" allowOverlap="1" wp14:anchorId="28734F4C" wp14:editId="0F0270C0">
                <wp:simplePos x="0" y="0"/>
                <wp:positionH relativeFrom="column">
                  <wp:posOffset>2399968</wp:posOffset>
                </wp:positionH>
                <wp:positionV relativeFrom="paragraph">
                  <wp:posOffset>68580</wp:posOffset>
                </wp:positionV>
                <wp:extent cx="1332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28B6F37"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95pt,5.4pt" to="293.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" strokecolor="black [3200]" strokeweight=".5pt">
                <v:stroke joinstyle="miter"/>
              </v:line>
            </w:pict>
          </mc:Fallback>
        </mc:AlternateContent>
      </w:r>
    </w:p>
    <w:p w14:paraId="596D7A6C" w14:textId="77777777" w:rsidR="0010207E" w:rsidRDefault="0010207E" w:rsidP="00943474">
      <w:pPr>
        <w:jc w:val="center"/>
        <w:rPr>
          <w:rFonts w:eastAsia="Courier New"/>
          <w:color w:val="000000"/>
          <w:szCs w:val="28"/>
        </w:rPr>
      </w:pPr>
    </w:p>
    <w:p w14:paraId="407AE5FA" w14:textId="0A95371A" w:rsidR="00B142A2" w:rsidRPr="0010207E" w:rsidRDefault="0010207E" w:rsidP="0010207E">
      <w:pPr>
        <w:spacing w:before="80" w:after="100" w:line="264" w:lineRule="auto"/>
        <w:ind w:firstLine="720"/>
        <w:jc w:val="both"/>
        <w:rPr>
          <w:rFonts w:asciiTheme="majorHAnsi" w:hAnsiTheme="majorHAnsi" w:cstheme="majorHAnsi"/>
          <w:sz w:val="28"/>
          <w:szCs w:val="28"/>
          <w:lang w:val="vi-VN"/>
        </w:rPr>
      </w:pPr>
      <w:r w:rsidRPr="0010207E">
        <w:rPr>
          <w:rFonts w:asciiTheme="majorHAnsi" w:hAnsiTheme="majorHAnsi" w:cstheme="majorHAnsi"/>
          <w:sz w:val="28"/>
          <w:szCs w:val="28"/>
        </w:rPr>
        <w:t xml:space="preserve">Thực hiện Luật Ban hành văn bản quy phạm pháp luật 2015 (được sửa đổi, bổ sung năm 2020) và Nghị quyết số 129/2024/QH15 ngày 8/6/2024 của Quốc hội về Chương trình xây dựng luật, pháp lệnh năm 2025, điều chỉnh Chương trình xây dựng luật, pháp lệnh năm 2024, Bộ Giáo dục và Đào tạo (GDĐT) </w:t>
      </w:r>
      <w:r>
        <w:rPr>
          <w:rFonts w:asciiTheme="majorHAnsi" w:hAnsiTheme="majorHAnsi" w:cstheme="majorHAnsi"/>
          <w:sz w:val="28"/>
          <w:szCs w:val="28"/>
          <w:lang w:val="vi-VN"/>
        </w:rPr>
        <w:t>báo cáo đánh giá tác động thủ tục hành chính quy định tại dự án Luật Nhà giáo như sau:</w:t>
      </w:r>
    </w:p>
    <w:p w14:paraId="45D58B2D" w14:textId="290BE090" w:rsidR="00CB2E59" w:rsidRPr="0010207E" w:rsidRDefault="00CB2E59" w:rsidP="00CB2E59">
      <w:pPr>
        <w:spacing w:before="60" w:after="60" w:line="360" w:lineRule="exact"/>
        <w:ind w:firstLine="720"/>
        <w:jc w:val="both"/>
        <w:rPr>
          <w:rFonts w:asciiTheme="majorHAnsi" w:hAnsiTheme="majorHAnsi" w:cstheme="majorHAnsi"/>
          <w:b/>
          <w:bCs/>
          <w:sz w:val="28"/>
          <w:szCs w:val="28"/>
          <w:lang w:val="vi-VN"/>
        </w:rPr>
      </w:pPr>
      <w:r w:rsidRPr="0010207E">
        <w:rPr>
          <w:rFonts w:asciiTheme="majorHAnsi" w:hAnsiTheme="majorHAnsi" w:cstheme="majorHAnsi"/>
          <w:b/>
          <w:bCs/>
          <w:sz w:val="28"/>
          <w:szCs w:val="28"/>
        </w:rPr>
        <w:t xml:space="preserve">I. </w:t>
      </w:r>
      <w:r w:rsidRPr="0010207E">
        <w:rPr>
          <w:rFonts w:asciiTheme="majorHAnsi" w:hAnsiTheme="majorHAnsi" w:cstheme="majorHAnsi"/>
          <w:b/>
          <w:bCs/>
          <w:sz w:val="28"/>
          <w:szCs w:val="28"/>
          <w:lang w:val="vi-VN"/>
        </w:rPr>
        <w:t>XÁC ĐỊNH VẤN ĐỀ TỔNG QUAN</w:t>
      </w:r>
    </w:p>
    <w:p w14:paraId="720D5392" w14:textId="77777777" w:rsidR="001C174F" w:rsidRPr="0010207E" w:rsidRDefault="001C174F" w:rsidP="00A0000E">
      <w:pPr>
        <w:spacing w:before="80" w:after="100" w:line="264" w:lineRule="auto"/>
        <w:ind w:firstLine="720"/>
        <w:jc w:val="both"/>
        <w:rPr>
          <w:rFonts w:asciiTheme="majorHAnsi" w:hAnsiTheme="majorHAnsi" w:cstheme="majorHAnsi"/>
          <w:b/>
          <w:sz w:val="28"/>
          <w:szCs w:val="28"/>
        </w:rPr>
      </w:pPr>
      <w:r w:rsidRPr="0010207E">
        <w:rPr>
          <w:rFonts w:asciiTheme="majorHAnsi" w:hAnsiTheme="majorHAnsi" w:cstheme="majorHAnsi"/>
          <w:b/>
          <w:sz w:val="28"/>
          <w:szCs w:val="28"/>
        </w:rPr>
        <w:t>1. Cơ sở pháp lý thực hiện đánh giá thủ tục hành chính</w:t>
      </w:r>
    </w:p>
    <w:p w14:paraId="044C05D9" w14:textId="77777777" w:rsidR="001C174F"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1.1. Luật Ban hành văn bản quy phạm pháp luật</w:t>
      </w:r>
    </w:p>
    <w:p w14:paraId="73890868" w14:textId="77777777" w:rsidR="001C174F"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1.2. Nghị định số 34/2016/NĐ-CP ngày 14/5/2016 của Chính phủ quy định chi tiết một số điều và biện pháp thi hành Luật Ban hành văn bản quy phạm pháp luật (được sửa đổi, bổ sung bằng Nghị định số 154/2020/NĐ-CP ngày 31/12/2020 của Chính phủ).</w:t>
      </w:r>
    </w:p>
    <w:p w14:paraId="6B146EEC" w14:textId="77777777" w:rsidR="001C174F"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1.3. Nghị định số 63/2010/NĐ-CP ngày 08/6/2010 của Chính phủ về kiểm soát thủ tục hành chính (được sửa đổi, bổ sung bằng Nghị định số 48/2013/NĐ-CP ngày 14/5/2013 của Chính phủ và Nghị định số 92/2017/NĐ-CP ngày 07/8/2017 của Chính phủ).</w:t>
      </w:r>
    </w:p>
    <w:p w14:paraId="09F0385E" w14:textId="77777777" w:rsidR="001C174F"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1.4.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p>
    <w:p w14:paraId="26C67F36" w14:textId="77777777" w:rsidR="001C174F" w:rsidRPr="0010207E" w:rsidRDefault="001C174F" w:rsidP="00A0000E">
      <w:pPr>
        <w:spacing w:before="80" w:after="100" w:line="264" w:lineRule="auto"/>
        <w:ind w:firstLine="720"/>
        <w:jc w:val="both"/>
        <w:rPr>
          <w:rFonts w:asciiTheme="majorHAnsi" w:hAnsiTheme="majorHAnsi" w:cstheme="majorHAnsi"/>
          <w:b/>
          <w:sz w:val="28"/>
          <w:szCs w:val="28"/>
        </w:rPr>
      </w:pPr>
      <w:r w:rsidRPr="0010207E">
        <w:rPr>
          <w:rFonts w:asciiTheme="majorHAnsi" w:hAnsiTheme="majorHAnsi" w:cstheme="majorHAnsi"/>
          <w:b/>
          <w:sz w:val="28"/>
          <w:szCs w:val="28"/>
        </w:rPr>
        <w:t>2.  Bối cảnh đánh giá thủ tục hành chính</w:t>
      </w:r>
    </w:p>
    <w:p w14:paraId="2C0FB14E" w14:textId="77777777" w:rsidR="001C174F"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Đội ngũ giáo viên là yếu tố cơ bản của quá trình giáo dục, là điều kiện tiên quyết để đảm bảo hiệu quả và chất lượng giáo dục. Trong công cuộc cải cách giáo dục, chính giáo viên sẽ là người chuyển tải các yêu cầu và nội dung của chương trình mới vào nhà trường và đến với từng học sinh. Vì vậy, có thể nói, cải cách giáo dục, hay nói rộng hơn là một nền giáo dục có thành công hay không thì yếu tố quyết định chính là đội ngũ giáo viên. Chính vì lý do trên, khi phát triển chính sách và chiến lược giáo dục, dù ngắn hạn hay dài hạn, các nhà hoạch định đều quan tâm đến vấn đề phát triển và quản lí đội ngũ giáo viên. Quy định về giáo viên trong luật của các nước rất đa dạng. Có nước xây dựng luật riêng về giáo viên (như Trung Quốc, Đài Loan, Indonesia, Philippin...); có nước xây dựng luật về đạo đức nghề nghiệp của giáo viên hoặc quy </w:t>
      </w:r>
      <w:r w:rsidRPr="0010207E">
        <w:rPr>
          <w:rFonts w:asciiTheme="majorHAnsi" w:hAnsiTheme="majorHAnsi" w:cstheme="majorHAnsi"/>
          <w:sz w:val="28"/>
          <w:szCs w:val="28"/>
        </w:rPr>
        <w:lastRenderedPageBreak/>
        <w:t xml:space="preserve">định về giáo viên chi tiết trong Luật giáo dục (Nga, Australia, Pháp...). Các quy định thường đề cập đến những vấn đề như: đạo đức nhà giáo, chuẩn nghề nghiệp, chế độ đãi ngộ, chứng chỉ hành nghề, hiệp hội nhà giáo, chính sách thu hút học sinh giỏi vào ngành sư phạm... </w:t>
      </w:r>
    </w:p>
    <w:p w14:paraId="36390089" w14:textId="45496760" w:rsidR="00052547"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Ở nước ta, qua nghiên cứu hệ thống văn bản cho thấy Đảng và Nhà nước luôn quan tâm đến vấn đề phát triển giáo dục nói chung và phát triển đội ngũ giáo viên nói riêng, giáo dục luôn được coi là quốc sách hàng đầu, đồng thời quan điểm xây dựng và phát triển một đội ngũ giáo viên có chất lượng là chủ trương xuyên suốt. Trong Nghị quyết Hội nghị trung ương 8 khóa XI về Đổi mới căn bản, toàn diện giáo dục và đào tạo cũng nêu rõ: “</w:t>
      </w:r>
      <w:r w:rsidRPr="0010207E">
        <w:rPr>
          <w:rFonts w:asciiTheme="majorHAnsi" w:hAnsiTheme="majorHAnsi" w:cstheme="majorHAnsi"/>
          <w:i/>
          <w:iCs/>
          <w:sz w:val="28"/>
          <w:szCs w:val="28"/>
        </w:rPr>
        <w:t>Có chế độ ưu đãi đối với nhà giáo và cán bộ quản lý giáo dục. Việc tuyển dụng, sử dụng, đãi ngộ, tôn vinh nhà giáo và cán bộ quản lý giáo dục phải trên cơ sở đánh giá năng lực, đạo đức nghề nghiệp và hiệu quả công tác. Có chế độ ưu đãi và quy định tuổi nghỉ hưu hợp lý đối với nhà giáo có trình độ cao; có cơ chế miễn nhiệm, bố trí công việc khác hoặc kiên quyết đưa ra khỏi ngành đối với những người không đủ phẩm chất, năng lực, không đáp ứng yêu cầu, nhiệm vụ. Lương của nhà giáo được ưu tiên xếp cao nhất trong hệ thống thang bậc lương hành chính sự nghiệp và có thêm phụ cấp tùy theo tính chất công việc, theo vùng</w:t>
      </w:r>
      <w:r w:rsidRPr="0010207E">
        <w:rPr>
          <w:rFonts w:asciiTheme="majorHAnsi" w:hAnsiTheme="majorHAnsi" w:cstheme="majorHAnsi"/>
          <w:sz w:val="28"/>
          <w:szCs w:val="28"/>
        </w:rPr>
        <w:t>.”</w:t>
      </w:r>
    </w:p>
    <w:p w14:paraId="6C2B3A02" w14:textId="3B09F447" w:rsidR="001C174F"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Mặc dù chủ trương, quan điểm của Đảng và Nhà nước đối với nhà giáo là nhất quán và rõ ràng, song kết quả của một số nghiên cứu về thực trạng của đội ngũ nhà giáo cho thấy còn rất nhiều bất cập đang tồn tại. Nhận định về đội ngũ nhà giáo và cán bộ quản lí giáo dục, Nghị quyết Hội nghị trung ương 8 khóa XI cũng nhấn mạnh: “</w:t>
      </w:r>
      <w:r w:rsidRPr="0010207E">
        <w:rPr>
          <w:rFonts w:asciiTheme="majorHAnsi" w:hAnsiTheme="majorHAnsi" w:cstheme="majorHAnsi"/>
          <w:i/>
          <w:iCs/>
          <w:sz w:val="28"/>
          <w:szCs w:val="28"/>
        </w:rPr>
        <w:t>Đội ngũ nhà giáo và cán bộ quản lý giáo dục bất cập về chất lượng, số lượng và cơ cấu; một bộ phận chưa theo kịp yêu cầu đổi mới và phát triển giáo dục, thiếu tâm huyết, thậm chí vi phạm đạo đức nghề nghiệp</w:t>
      </w:r>
      <w:r w:rsidRPr="0010207E">
        <w:rPr>
          <w:rFonts w:asciiTheme="majorHAnsi" w:hAnsiTheme="majorHAnsi" w:cstheme="majorHAnsi"/>
          <w:sz w:val="28"/>
          <w:szCs w:val="28"/>
        </w:rPr>
        <w:t xml:space="preserve">”. </w:t>
      </w:r>
      <w:r w:rsidR="00FC11D2" w:rsidRPr="0010207E">
        <w:rPr>
          <w:rFonts w:asciiTheme="majorHAnsi" w:hAnsiTheme="majorHAnsi" w:cstheme="majorHAnsi"/>
          <w:sz w:val="28"/>
          <w:szCs w:val="28"/>
        </w:rPr>
        <w:t>Nghị quyết Đại hội đại biểu toàn quốc lần thứ XIII của Đảng một lần nữa khẳng định quan điểm chỉ đạo của Đảng là “</w:t>
      </w:r>
      <w:r w:rsidR="00FC11D2" w:rsidRPr="0010207E">
        <w:rPr>
          <w:rFonts w:asciiTheme="majorHAnsi" w:hAnsiTheme="majorHAnsi" w:cstheme="majorHAnsi"/>
          <w:i/>
          <w:iCs/>
          <w:sz w:val="28"/>
          <w:szCs w:val="28"/>
        </w:rPr>
        <w:t>có cơ chế đột phá để thu hút, trọng dụng nhân tài, thúc đẩy đổi mới sáng tạo, ứng dụng mạnh mẽ khoa học và công nghệ, nhất là những thành tựu của cuộc Cách mạng công nghiệp lần thứ tư, tạo động lực mạnh mẽ cho phát triển nhanh và bền vững</w:t>
      </w:r>
      <w:r w:rsidR="00FC11D2" w:rsidRPr="0010207E">
        <w:rPr>
          <w:rFonts w:asciiTheme="majorHAnsi" w:hAnsiTheme="majorHAnsi" w:cstheme="majorHAnsi"/>
          <w:sz w:val="28"/>
          <w:szCs w:val="28"/>
        </w:rPr>
        <w:t>”. Đảng ta cũng đã chỉ ra bài học kinh nghiệm là “</w:t>
      </w:r>
      <w:r w:rsidR="00FC11D2" w:rsidRPr="0010207E">
        <w:rPr>
          <w:rFonts w:asciiTheme="majorHAnsi" w:hAnsiTheme="majorHAnsi" w:cstheme="majorHAnsi"/>
          <w:i/>
          <w:iCs/>
          <w:sz w:val="28"/>
          <w:szCs w:val="28"/>
        </w:rPr>
        <w:t>thể chế pháp luật phải được xây dựng cơ bản đầy đủ, đồng bộ với tư duy mới, phù hợp với thực tiễn và tổ chức thực hiện nghiêm túc, hiệu quả</w:t>
      </w:r>
      <w:r w:rsidR="00FC11D2" w:rsidRPr="0010207E">
        <w:rPr>
          <w:rFonts w:asciiTheme="majorHAnsi" w:hAnsiTheme="majorHAnsi" w:cstheme="majorHAnsi"/>
          <w:sz w:val="28"/>
          <w:szCs w:val="28"/>
        </w:rPr>
        <w:t>” và “</w:t>
      </w:r>
      <w:r w:rsidR="00FC11D2" w:rsidRPr="0010207E">
        <w:rPr>
          <w:rFonts w:asciiTheme="majorHAnsi" w:hAnsiTheme="majorHAnsi" w:cstheme="majorHAnsi"/>
          <w:i/>
          <w:iCs/>
          <w:sz w:val="28"/>
          <w:szCs w:val="28"/>
        </w:rPr>
        <w:t>xác định giáo dục, đào tạo, khoa học, công nghệ và đổi mới sáng tạo là nền tảng quan trọng và là động lực chủ yếu trong phát triển đất nước để bắt kịp sự phát triển của khu vực và thế giới, tránh nguy cơ tụt hậu</w:t>
      </w:r>
      <w:r w:rsidR="00FC11D2" w:rsidRPr="0010207E">
        <w:rPr>
          <w:rFonts w:asciiTheme="majorHAnsi" w:hAnsiTheme="majorHAnsi" w:cstheme="majorHAnsi"/>
          <w:sz w:val="28"/>
          <w:szCs w:val="28"/>
        </w:rPr>
        <w:t>”.</w:t>
      </w:r>
    </w:p>
    <w:p w14:paraId="38249F59" w14:textId="1C16BAE4" w:rsidR="0067475A" w:rsidRPr="0010207E" w:rsidRDefault="001C174F"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Để giải quyết những bất cập trong thực tiễn, các quy định về giáo viên đã từng bước được thể chế hóa trong các văn bản của pháp luật. Trong hệ thống pháp luật Việt Nam hiện nay, các quy định trực tiếp liên quan đến nhà giáo nằm ở nhiều văn bản khác nhau</w:t>
      </w:r>
      <w:r w:rsidR="0067475A" w:rsidRPr="0010207E">
        <w:rPr>
          <w:rFonts w:asciiTheme="majorHAnsi" w:hAnsiTheme="majorHAnsi" w:cstheme="majorHAnsi"/>
          <w:sz w:val="28"/>
          <w:szCs w:val="28"/>
        </w:rPr>
        <w:t xml:space="preserve">: </w:t>
      </w:r>
      <w:r w:rsidRPr="0010207E">
        <w:rPr>
          <w:rFonts w:asciiTheme="majorHAnsi" w:hAnsiTheme="majorHAnsi" w:cstheme="majorHAnsi"/>
          <w:sz w:val="28"/>
          <w:szCs w:val="28"/>
        </w:rPr>
        <w:t>Luật giáo dục, Luật giáo dục đại họ</w:t>
      </w:r>
      <w:r w:rsidR="0067475A" w:rsidRPr="0010207E">
        <w:rPr>
          <w:rFonts w:asciiTheme="majorHAnsi" w:hAnsiTheme="majorHAnsi" w:cstheme="majorHAnsi"/>
          <w:sz w:val="28"/>
          <w:szCs w:val="28"/>
        </w:rPr>
        <w:t>c</w:t>
      </w:r>
      <w:r w:rsidRPr="0010207E">
        <w:rPr>
          <w:rFonts w:asciiTheme="majorHAnsi" w:hAnsiTheme="majorHAnsi" w:cstheme="majorHAnsi"/>
          <w:sz w:val="28"/>
          <w:szCs w:val="28"/>
        </w:rPr>
        <w:t>, Luật Giáo dục nghề nghiệp, Luật Cán bộ</w:t>
      </w:r>
      <w:r w:rsidR="0067475A" w:rsidRPr="0010207E">
        <w:rPr>
          <w:rFonts w:asciiTheme="majorHAnsi" w:hAnsiTheme="majorHAnsi" w:cstheme="majorHAnsi"/>
          <w:sz w:val="28"/>
          <w:szCs w:val="28"/>
        </w:rPr>
        <w:t>,</w:t>
      </w:r>
      <w:r w:rsidRPr="0010207E">
        <w:rPr>
          <w:rFonts w:asciiTheme="majorHAnsi" w:hAnsiTheme="majorHAnsi" w:cstheme="majorHAnsi"/>
          <w:sz w:val="28"/>
          <w:szCs w:val="28"/>
        </w:rPr>
        <w:t xml:space="preserve"> công chức, Luật Viên chức. Ngoài ra, các chính sách, quy định liên quan đến nhà giáo, tùy theo mức độ, còn được đề cập trong các văn bản như: Luật Thi đua khen thưởng, </w:t>
      </w:r>
      <w:r w:rsidR="00FC11D2" w:rsidRPr="0010207E">
        <w:rPr>
          <w:rFonts w:asciiTheme="majorHAnsi" w:hAnsiTheme="majorHAnsi" w:cstheme="majorHAnsi"/>
          <w:iCs/>
          <w:spacing w:val="-4"/>
          <w:sz w:val="28"/>
          <w:szCs w:val="28"/>
        </w:rPr>
        <w:t>Luật lao động, Luật bảo hiểm xã hội</w:t>
      </w:r>
      <w:r w:rsidRPr="0010207E">
        <w:rPr>
          <w:rFonts w:asciiTheme="majorHAnsi" w:hAnsiTheme="majorHAnsi" w:cstheme="majorHAnsi"/>
          <w:sz w:val="28"/>
          <w:szCs w:val="28"/>
        </w:rPr>
        <w:t xml:space="preserve">... </w:t>
      </w:r>
      <w:r w:rsidR="00FC11D2" w:rsidRPr="0010207E">
        <w:rPr>
          <w:rFonts w:asciiTheme="majorHAnsi" w:hAnsiTheme="majorHAnsi" w:cstheme="majorHAnsi"/>
          <w:sz w:val="28"/>
          <w:szCs w:val="28"/>
        </w:rPr>
        <w:t xml:space="preserve">Bên cạnh các Luật nói trên, hiện có gần 200 văn </w:t>
      </w:r>
      <w:r w:rsidR="00FC11D2" w:rsidRPr="0010207E">
        <w:rPr>
          <w:rFonts w:asciiTheme="majorHAnsi" w:hAnsiTheme="majorHAnsi" w:cstheme="majorHAnsi"/>
          <w:sz w:val="28"/>
          <w:szCs w:val="28"/>
        </w:rPr>
        <w:lastRenderedPageBreak/>
        <w:t>bản, thông tư, hướng dẫn liên quan đến nhà giáo. Các văn bản này đã ít nhiều đưa ra các quy định về nhà giáo, tuy nhiên nhiều quy định còn chung chung. Một số vấn đề hết sức quan trọng đối với nhà giáo như: đạo đức nghề nghiệp, quyền của nhà giáo; bảo vệ đạo đức, nhân phẩm của nhà giáo được quy định một cách mờ nhạt; chưa có văn bản nào xác định được đặc thù của nghề giáo. Bên cạnh đó, các văn bản đều chưa đề cập đến các đối tượng như: đội ngũ nhà giáo đang giảng dạy tại các trường ngoài công lập - vốn đang ngày càng gia tăng về số lượng, các nhà giáo từ nước ngoài về giảng dạy tại Việt Nam hay các nhà giáo Việt Nam sang nước ngoài giảng dạy; chế độ chính sách, điều kiện làm việc của nhà giáo, tôn vinh nhà giáo... để họ thực sự yên tâm công tác trong ngành giáo dục.</w:t>
      </w:r>
    </w:p>
    <w:p w14:paraId="762139C4" w14:textId="77777777" w:rsidR="00FC11D2" w:rsidRPr="0010207E" w:rsidRDefault="00FC11D2"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Mặc dù hệ thống pháp luật liên quan tới nhà giáo hiện hành có số lượng lớn và phức tạp về nội hàm quy định như đã nêu trên, nhưng vẫn tồn tại một số hạn chế và chưa phủ hết các hoạt động nghề nghiệp của nhà giáo. Cụ thể như sau:</w:t>
      </w:r>
    </w:p>
    <w:p w14:paraId="73B2027F" w14:textId="77777777" w:rsidR="00FC11D2" w:rsidRPr="0010207E" w:rsidRDefault="00FC11D2"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 Luật Viên chức, Luật cán bộ, công chức chỉ có phạm vi điều chỉnh đối với những nhà giáo là người Việt Nam đã được tuyển dụng vào viên chức hoặc bổ nhiệm thành công chức. Trong khi thực tế hoạt động của ngành Giáo dục cho đến thời điểm hiện nay, một số lượng không nhỏ các nhà giáo đã và đang thực hiện các nhiệm vụ dạy học và giáo dục ở các cơ sở giáo dục ngoài công lập. Đội ngũ nhà giáo và cán bộ quản lý giáo dục (CBQLGD) ở các cơ sở giáo dục ngoài công lập chiếm tỷ lệ tương đối lớn tổng số nhà giáo đang hoạt động trong ngành giáo dục (khoảng 10%). Hệ thống cơ sở giáo dục ngoài công lập đang ngày càng phát triển mạnh mẽ, đóng góp một phần không nhỏ trong thực hiện nhiệm vụ của ngành Giáo dục. Trong tương lai, đội ngũ nhà giáo ngoài công lập sẽ tăng lên rất nhanh và chiếm tỷ trọng đáng kể trong ngành giáo dục. Bên cạnh đó, có một số lượng nhất định các nhà giáo là người nước ngoài cũng đã và đang tham gia các hoạt động giáo dục tại Việt Nam, không chỉ trong các cơ sở giáo dục ngoài công lập, mà tại các cơ sở giáo dục đại học công lập cũng có sự tham gia giảng dạy của những nhà giáo là người có quốc tịch nước ngoài. Nhưng các quy định về pháp luật chuyên ngành để quản lý các nhóm đối tượng này chưa đầy đủ. Do đó, cần có những quy định để điều chỉnh đối với đối tượng này. </w:t>
      </w:r>
    </w:p>
    <w:p w14:paraId="6CB9AD06" w14:textId="3084DC89" w:rsidR="001C174F" w:rsidRPr="0010207E" w:rsidRDefault="00FC11D2"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 Hệ thống chính sách, pháp luật hiện có điều chỉnh hoạt động của nhà giáo còn có một số bất cập: (1) Thuật ngữ nhà giáo chưa được định danh đầy đủ, tường minh trong các văn bản luật hiện hành. Một số khái niệm cốt lõi về nhà giáo, cán bộ quản lý giáo dục chưa được quy định cụ thể. Do đó, một số chính sách về nhà giáo chưa được quy định đồng bộ, rõ ràng, gây ra nhiều tâm tư cho nhà giáo; (2) Các quy định của luật và văn bản dưới luật hiện hành điều chỉnh các quan hệ về nhà giáo cơ bản khá đầy đủ nhưng do nhiều cơ quan ban hành nên còn tản mạn, thiếu đồng bộ, hiệu lực pháp lý chưa cao, đặc biệt là chưa có quy phạm pháp luật để xây dựng chế độ tiền lương tương xứng với vị thế và đặc thù lao động của nhà giáo. (3) Một số quy định của pháp luật về nhà giáo do áp dụng chung với viên chức các ngành, lĩnh vực khác nên chưa thực sự phù hợp, gây ra những bức xúc trong đội ngũ nhà giáo các cấp (nhà giáo phải có chứng </w:t>
      </w:r>
      <w:r w:rsidRPr="0010207E">
        <w:rPr>
          <w:rFonts w:asciiTheme="majorHAnsi" w:hAnsiTheme="majorHAnsi" w:cstheme="majorHAnsi"/>
          <w:sz w:val="28"/>
          <w:szCs w:val="28"/>
        </w:rPr>
        <w:lastRenderedPageBreak/>
        <w:t>chỉ bồi dưỡng theo tiêu chuẩn chức danh nghề nghiệp trong khi ngành Giáo dục đã có các chương trình bồi dưỡng thường xuyên gây nên vấn nạn văn bằng, chứng chỉ; việc thừa/thiếu giáo viên mầm non, phổ thông tồn tại nhiều năm nhưng không thể giải quyết dứt điểm do cơ quan quản lý giáo dục các cấp không được chủ động điều tiết, tuyển dụng giáo viên; quy định về số lượng cấp phó trong đơn vị sự nghiệp công lập không phù hợp với các cơ sở giáo dục có quy mô lớn gây khó khăn cho hoạt động giáo dục…). (4) Một số vấn đề liên quan đến nhà giáo chưa được quy định cụ thể như: Chế độ tuyển dụng và sử dụng nhà giáo theo Luật Viên chức chưa thể hiện được đặc thù lao động của nhà giáo; Quyền của nhà giáo trong bối cảnh phân cấp và giao quyền tự chủ cho các cơ sở giáo dục.</w:t>
      </w:r>
    </w:p>
    <w:p w14:paraId="1200395D" w14:textId="6B5CD230" w:rsidR="0067475A" w:rsidRPr="0010207E" w:rsidRDefault="0067475A"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Để quản lí một cách hiệu quả hơn, bảo đảm tốt hơn những quyền lợi của nhà giáo - một đội ngũ có sứ mệnh đặc biệt trong xã hội thì việc thể chế đầy đủ hơn các quan điểm, chủ trương của Đảng về nhà giáo đang là một nhu cầu khách quan. </w:t>
      </w:r>
      <w:r w:rsidR="001C174F" w:rsidRPr="0010207E">
        <w:rPr>
          <w:rFonts w:asciiTheme="majorHAnsi" w:hAnsiTheme="majorHAnsi" w:cstheme="majorHAnsi"/>
          <w:sz w:val="28"/>
          <w:szCs w:val="28"/>
        </w:rPr>
        <w:t>Ý tưởng xây dựng một bộ luật riêng dành cho nhà giáo đã có từ nhiều năm trước. Luật Nhà giáo được đặt ra từ chỉ thị 40 của Ban Bí thư vào năm 2004. Năm 2008, thực hiện Nghị quyết số 11/2007/QH12 ngày 21/01/2007 của Quốc hội về chương trình xây dựng luật, pháp lệnh của Quốc hội nhiệm kì khóa XII, Thủ tướng Chính phủ đã có Quyết định số 25/QĐ-TT</w:t>
      </w:r>
      <w:r w:rsidR="00DB5D89" w:rsidRPr="0010207E">
        <w:rPr>
          <w:rFonts w:asciiTheme="majorHAnsi" w:hAnsiTheme="majorHAnsi" w:cstheme="majorHAnsi"/>
          <w:sz w:val="28"/>
          <w:szCs w:val="28"/>
        </w:rPr>
        <w:t>g</w:t>
      </w:r>
      <w:r w:rsidR="001C174F" w:rsidRPr="0010207E">
        <w:rPr>
          <w:rFonts w:asciiTheme="majorHAnsi" w:hAnsiTheme="majorHAnsi" w:cstheme="majorHAnsi"/>
          <w:sz w:val="28"/>
          <w:szCs w:val="28"/>
        </w:rPr>
        <w:t xml:space="preserve"> ngày 07/01/2008 trong đó phân công Bộ Giáo dục </w:t>
      </w:r>
      <w:r w:rsidRPr="0010207E">
        <w:rPr>
          <w:rFonts w:asciiTheme="majorHAnsi" w:hAnsiTheme="majorHAnsi" w:cstheme="majorHAnsi"/>
          <w:sz w:val="28"/>
          <w:szCs w:val="28"/>
        </w:rPr>
        <w:t xml:space="preserve">và </w:t>
      </w:r>
      <w:r w:rsidR="001C174F" w:rsidRPr="0010207E">
        <w:rPr>
          <w:rFonts w:asciiTheme="majorHAnsi" w:hAnsiTheme="majorHAnsi" w:cstheme="majorHAnsi"/>
          <w:sz w:val="28"/>
          <w:szCs w:val="28"/>
        </w:rPr>
        <w:t>Đào tạo chủ trì xây dựng dự án Luật Giáo viên. Theo dự kiến, Luật Giáo viên sẽ được trình Quốc hội cho ý kiến vào kì họp tháng 5/2010 và thông qua vào kì họp tháng 10/2010. Tuy nhiên, đến nhiệm kỳ 13 của Quốc hội, vì số lượng luật và pháp lệnh cần xây dựng hoặc bổ sung, sửa chữa quá nhiều và đối với lĩnh vực giáo dục - đào tạo, cần tập trung vào việc xây dựng Luật Giáo dục đại học, nên việc xây dựng Luật giáo viên đã được tạm dừng lại. Bên cạnh đó, cũng có ý kiến cho rằng, nhà giáo thuộc phạm vi điều chỉnh của Luật Viên chức và các vấn đề về nhà giáo (giáo viên và giảng viên) đã được quy định trong hai đạo luật về giáo dục nên không cần thiết phải có Luật Nhà giáo. Tuy nhiên, theo những phân tích ở trên, có thể thấy, những quy định tản mát về nhà giáo tại các luật chưa bao phủ hết các vấn đề liên quan đến đội ngũ nhà giáo</w:t>
      </w:r>
      <w:r w:rsidRPr="0010207E">
        <w:rPr>
          <w:rFonts w:asciiTheme="majorHAnsi" w:hAnsiTheme="majorHAnsi" w:cstheme="majorHAnsi"/>
          <w:sz w:val="28"/>
          <w:szCs w:val="28"/>
        </w:rPr>
        <w:t>; n</w:t>
      </w:r>
      <w:r w:rsidR="001C174F" w:rsidRPr="0010207E">
        <w:rPr>
          <w:rFonts w:asciiTheme="majorHAnsi" w:hAnsiTheme="majorHAnsi" w:cstheme="majorHAnsi"/>
          <w:sz w:val="28"/>
          <w:szCs w:val="28"/>
        </w:rPr>
        <w:t>hững vấn đề cần được quy định đối với nhà giáo và nghề dạy học phong phú hơn những quy định trong các đạo luật hiện có về giáo dục</w:t>
      </w:r>
      <w:r w:rsidRPr="0010207E">
        <w:rPr>
          <w:rFonts w:asciiTheme="majorHAnsi" w:hAnsiTheme="majorHAnsi" w:cstheme="majorHAnsi"/>
          <w:sz w:val="28"/>
          <w:szCs w:val="28"/>
        </w:rPr>
        <w:t>, những đặc thù nghề nghiệp cần khắc phục những bất cập nói trên</w:t>
      </w:r>
      <w:r w:rsidR="001C174F" w:rsidRPr="0010207E">
        <w:rPr>
          <w:rFonts w:asciiTheme="majorHAnsi" w:hAnsiTheme="majorHAnsi" w:cstheme="majorHAnsi"/>
          <w:sz w:val="28"/>
          <w:szCs w:val="28"/>
        </w:rPr>
        <w:t xml:space="preserve">. </w:t>
      </w:r>
      <w:r w:rsidRPr="0010207E">
        <w:rPr>
          <w:rFonts w:asciiTheme="majorHAnsi" w:hAnsiTheme="majorHAnsi" w:cstheme="majorHAnsi"/>
          <w:sz w:val="28"/>
          <w:szCs w:val="28"/>
        </w:rPr>
        <w:t>Đội ngũ nhà giáo là lực lượng đông đảo có vai trò hết sức quan trọng trong xã hội. Việc ban hành Luật nhà giáo sẽ tạo hành lang pháp lý để phát triển đội ngũ nhà giáo và tạo cơ sở tin cậy cho các cá nhân, tổ chức trong và ngoài nước đầu tư phát triển giáo dục ở nước ta.</w:t>
      </w:r>
    </w:p>
    <w:p w14:paraId="34638636" w14:textId="0EB94EE0" w:rsidR="001C174F" w:rsidRPr="0010207E" w:rsidRDefault="0067475A"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lang w:val="lv-LV"/>
        </w:rPr>
        <w:t xml:space="preserve">Căn cứ vào các nội dung trên, </w:t>
      </w:r>
      <w:r w:rsidRPr="0010207E">
        <w:rPr>
          <w:rFonts w:asciiTheme="majorHAnsi" w:hAnsiTheme="majorHAnsi" w:cstheme="majorHAnsi"/>
          <w:kern w:val="28"/>
          <w:sz w:val="28"/>
          <w:szCs w:val="28"/>
          <w:lang w:val="nl-NL"/>
        </w:rPr>
        <w:t>khắc phục những tồn tại, bất cập và bảo đảm thống nhất với hệ thống pháp luật về giáo dục, nhằm củng cố hành lang pháp lý đồng bộ, tạo thuận lợi cho công tác tổ chức thực hiện</w:t>
      </w:r>
      <w:r w:rsidR="00FC11D2" w:rsidRPr="0010207E">
        <w:rPr>
          <w:rFonts w:asciiTheme="majorHAnsi" w:hAnsiTheme="majorHAnsi" w:cstheme="majorHAnsi"/>
          <w:kern w:val="28"/>
          <w:sz w:val="28"/>
          <w:szCs w:val="28"/>
          <w:lang w:val="nl-NL"/>
        </w:rPr>
        <w:t xml:space="preserve"> nhiệm vụ giáo dục là quốc sách hàng đầu</w:t>
      </w:r>
      <w:r w:rsidR="00FC11D2" w:rsidRPr="0010207E">
        <w:rPr>
          <w:rFonts w:asciiTheme="majorHAnsi" w:hAnsiTheme="majorHAnsi" w:cstheme="majorHAnsi"/>
          <w:sz w:val="28"/>
          <w:szCs w:val="28"/>
        </w:rPr>
        <w:t>;</w:t>
      </w:r>
      <w:r w:rsidR="001C174F" w:rsidRPr="0010207E">
        <w:rPr>
          <w:rFonts w:asciiTheme="majorHAnsi" w:hAnsiTheme="majorHAnsi" w:cstheme="majorHAnsi"/>
          <w:sz w:val="28"/>
          <w:szCs w:val="28"/>
        </w:rPr>
        <w:t xml:space="preserve"> </w:t>
      </w:r>
      <w:r w:rsidR="00FC11D2" w:rsidRPr="0010207E">
        <w:rPr>
          <w:rFonts w:asciiTheme="majorHAnsi" w:hAnsiTheme="majorHAnsi" w:cstheme="majorHAnsi"/>
          <w:sz w:val="28"/>
          <w:szCs w:val="28"/>
        </w:rPr>
        <w:t>t</w:t>
      </w:r>
      <w:r w:rsidR="00FC11D2" w:rsidRPr="0010207E">
        <w:rPr>
          <w:rFonts w:asciiTheme="majorHAnsi" w:hAnsiTheme="majorHAnsi" w:cstheme="majorHAnsi"/>
          <w:sz w:val="28"/>
          <w:szCs w:val="28"/>
          <w:lang w:val="vi-VN"/>
        </w:rPr>
        <w:t>hực hiện Chương trình xây dựng luật</w:t>
      </w:r>
      <w:r w:rsidR="00FC11D2" w:rsidRPr="0010207E">
        <w:rPr>
          <w:rFonts w:asciiTheme="majorHAnsi" w:hAnsiTheme="majorHAnsi" w:cstheme="majorHAnsi"/>
          <w:sz w:val="28"/>
          <w:szCs w:val="28"/>
          <w:lang w:val="nl-NL"/>
        </w:rPr>
        <w:t>,</w:t>
      </w:r>
      <w:r w:rsidR="00FC11D2" w:rsidRPr="0010207E">
        <w:rPr>
          <w:rFonts w:asciiTheme="majorHAnsi" w:hAnsiTheme="majorHAnsi" w:cstheme="majorHAnsi"/>
          <w:sz w:val="28"/>
          <w:szCs w:val="28"/>
          <w:lang w:val="vi-VN"/>
        </w:rPr>
        <w:t xml:space="preserve"> pháp lệnh năm 20</w:t>
      </w:r>
      <w:r w:rsidR="00FC11D2" w:rsidRPr="0010207E">
        <w:rPr>
          <w:rFonts w:asciiTheme="majorHAnsi" w:hAnsiTheme="majorHAnsi" w:cstheme="majorHAnsi"/>
          <w:sz w:val="28"/>
          <w:szCs w:val="28"/>
          <w:lang w:val="nl-NL"/>
        </w:rPr>
        <w:t>24</w:t>
      </w:r>
      <w:r w:rsidR="00FC11D2" w:rsidRPr="0010207E">
        <w:rPr>
          <w:rFonts w:asciiTheme="majorHAnsi" w:hAnsiTheme="majorHAnsi" w:cstheme="majorHAnsi"/>
          <w:sz w:val="28"/>
          <w:szCs w:val="28"/>
          <w:lang w:val="vi-VN"/>
        </w:rPr>
        <w:t xml:space="preserve"> của Quốc hội</w:t>
      </w:r>
      <w:r w:rsidR="00FC11D2" w:rsidRPr="0010207E">
        <w:rPr>
          <w:rFonts w:asciiTheme="majorHAnsi" w:hAnsiTheme="majorHAnsi" w:cstheme="majorHAnsi"/>
          <w:sz w:val="28"/>
          <w:szCs w:val="28"/>
          <w:lang w:val="nl-NL"/>
        </w:rPr>
        <w:t xml:space="preserve">, </w:t>
      </w:r>
      <w:r w:rsidR="00FC11D2" w:rsidRPr="0010207E">
        <w:rPr>
          <w:rFonts w:asciiTheme="majorHAnsi" w:hAnsiTheme="majorHAnsi" w:cstheme="majorHAnsi"/>
          <w:sz w:val="28"/>
          <w:szCs w:val="28"/>
          <w:lang w:val="vi-VN"/>
        </w:rPr>
        <w:t xml:space="preserve">Bộ </w:t>
      </w:r>
      <w:r w:rsidR="00FC11D2" w:rsidRPr="0010207E">
        <w:rPr>
          <w:rFonts w:asciiTheme="majorHAnsi" w:hAnsiTheme="majorHAnsi" w:cstheme="majorHAnsi"/>
          <w:sz w:val="28"/>
          <w:szCs w:val="28"/>
        </w:rPr>
        <w:t xml:space="preserve">Giáo dục và Đào tạo đã chủ trì, phối hợp xây dựng </w:t>
      </w:r>
      <w:r w:rsidR="00FC11D2" w:rsidRPr="0010207E">
        <w:rPr>
          <w:rFonts w:asciiTheme="majorHAnsi" w:hAnsiTheme="majorHAnsi" w:cstheme="majorHAnsi"/>
          <w:sz w:val="28"/>
          <w:szCs w:val="28"/>
          <w:lang w:val="vi-VN"/>
        </w:rPr>
        <w:t xml:space="preserve">Dự án Luật </w:t>
      </w:r>
      <w:r w:rsidR="00FC11D2" w:rsidRPr="0010207E">
        <w:rPr>
          <w:rFonts w:asciiTheme="majorHAnsi" w:hAnsiTheme="majorHAnsi" w:cstheme="majorHAnsi"/>
          <w:sz w:val="28"/>
          <w:szCs w:val="28"/>
        </w:rPr>
        <w:t>Nhà giáo</w:t>
      </w:r>
      <w:r w:rsidR="00FC11D2" w:rsidRPr="0010207E">
        <w:rPr>
          <w:rFonts w:asciiTheme="majorHAnsi" w:hAnsiTheme="majorHAnsi" w:cstheme="majorHAnsi"/>
          <w:sz w:val="28"/>
          <w:szCs w:val="28"/>
          <w:lang w:val="vi-VN"/>
        </w:rPr>
        <w:t>.</w:t>
      </w:r>
    </w:p>
    <w:p w14:paraId="194164C0" w14:textId="233B2D95" w:rsidR="00FC11D2" w:rsidRPr="0010207E" w:rsidRDefault="00FC11D2" w:rsidP="00A0000E">
      <w:pPr>
        <w:spacing w:before="80" w:after="100" w:line="264" w:lineRule="auto"/>
        <w:ind w:firstLine="720"/>
        <w:jc w:val="both"/>
        <w:rPr>
          <w:rFonts w:asciiTheme="majorHAnsi" w:hAnsiTheme="majorHAnsi" w:cstheme="majorHAnsi"/>
          <w:spacing w:val="2"/>
          <w:sz w:val="28"/>
          <w:szCs w:val="28"/>
        </w:rPr>
      </w:pPr>
      <w:r w:rsidRPr="0010207E">
        <w:rPr>
          <w:rFonts w:asciiTheme="majorHAnsi" w:hAnsiTheme="majorHAnsi" w:cstheme="majorHAnsi"/>
          <w:spacing w:val="2"/>
          <w:sz w:val="28"/>
          <w:szCs w:val="28"/>
        </w:rPr>
        <w:lastRenderedPageBreak/>
        <w:t>Trong quá trình xây dựng dự thảo Luật Nhà giáo, Bộ Giáo dục và Đào tạo đã rất quan tâm tới công tác cải cách thủ tục hành chính (TTHC), kiểm soát TTHC nhằm tạo thuận lợi nhất cho các tổ chức, cá nhân (đặc biệt là các nhà giáo) trong thực hiện. Theo đó, trong quá trình xây dựng dự thảo Luật, các quy định về TTHC được yêu cầu thực hiện:</w:t>
      </w:r>
    </w:p>
    <w:p w14:paraId="7CC2E965" w14:textId="70D75DE4" w:rsidR="00FC11D2" w:rsidRPr="0010207E" w:rsidRDefault="00FC11D2"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 </w:t>
      </w:r>
      <w:r w:rsidRPr="0010207E">
        <w:rPr>
          <w:rFonts w:asciiTheme="majorHAnsi" w:hAnsiTheme="majorHAnsi" w:cstheme="majorHAnsi"/>
          <w:i/>
          <w:sz w:val="28"/>
          <w:szCs w:val="28"/>
        </w:rPr>
        <w:t>Đánh giá tác động của thủ tục hành chính</w:t>
      </w:r>
      <w:r w:rsidRPr="0010207E">
        <w:rPr>
          <w:rFonts w:asciiTheme="majorHAnsi" w:hAnsiTheme="majorHAnsi" w:cstheme="majorHAnsi"/>
          <w:sz w:val="28"/>
          <w:szCs w:val="28"/>
        </w:rPr>
        <w:t>: tập trung vào sự cần thiết, tính hợp lý, tính hợp pháp của TTHC.</w:t>
      </w:r>
    </w:p>
    <w:p w14:paraId="5C80CB1D" w14:textId="457EB060" w:rsidR="00FC11D2" w:rsidRPr="0010207E" w:rsidRDefault="00FC11D2"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 </w:t>
      </w:r>
      <w:r w:rsidRPr="0010207E">
        <w:rPr>
          <w:rFonts w:asciiTheme="majorHAnsi" w:hAnsiTheme="majorHAnsi" w:cstheme="majorHAnsi"/>
          <w:i/>
          <w:sz w:val="28"/>
          <w:szCs w:val="28"/>
        </w:rPr>
        <w:t xml:space="preserve">Tính chi phí tuân thủ </w:t>
      </w:r>
      <w:r w:rsidR="003140A5" w:rsidRPr="0010207E">
        <w:rPr>
          <w:rFonts w:asciiTheme="majorHAnsi" w:hAnsiTheme="majorHAnsi" w:cstheme="majorHAnsi"/>
          <w:i/>
          <w:sz w:val="28"/>
          <w:szCs w:val="28"/>
        </w:rPr>
        <w:t>TTHC</w:t>
      </w:r>
      <w:r w:rsidRPr="0010207E">
        <w:rPr>
          <w:rFonts w:asciiTheme="majorHAnsi" w:hAnsiTheme="majorHAnsi" w:cstheme="majorHAnsi"/>
          <w:sz w:val="28"/>
          <w:szCs w:val="28"/>
        </w:rPr>
        <w:t>: Bộ Giáo dục và Đào tạo đã chú trọng vào việc lượng hóa các chi phí mà cá nhân, tổ chức phải bỏ ra khi thực hiện TTHC đã ban hành hoặc dự kiến ban hành, qua đó đưa ra các giải pháp triển khai thực hiện TTHC phù hợp với trình độ quản lý và điều kiện về cơ sở vật chất, kỹ thuật của các bên có liên quan, đảm bảo chi phí mà tổ chức, cá nhân phải bỏ ra là thấp nhất.</w:t>
      </w:r>
    </w:p>
    <w:p w14:paraId="43D64BBB" w14:textId="77777777" w:rsidR="00CB2E59" w:rsidRPr="0010207E" w:rsidRDefault="00052547" w:rsidP="00A0000E">
      <w:pPr>
        <w:spacing w:before="80" w:after="100" w:line="264" w:lineRule="auto"/>
        <w:ind w:firstLine="720"/>
        <w:jc w:val="both"/>
        <w:rPr>
          <w:rFonts w:asciiTheme="majorHAnsi" w:eastAsia="MS Mincho" w:hAnsiTheme="majorHAnsi" w:cstheme="majorHAnsi"/>
          <w:b/>
          <w:sz w:val="28"/>
          <w:szCs w:val="28"/>
        </w:rPr>
      </w:pPr>
      <w:r w:rsidRPr="0010207E">
        <w:rPr>
          <w:rFonts w:asciiTheme="majorHAnsi" w:eastAsia="MS Mincho" w:hAnsiTheme="majorHAnsi" w:cstheme="majorHAnsi"/>
          <w:b/>
          <w:sz w:val="28"/>
          <w:szCs w:val="28"/>
        </w:rPr>
        <w:t>II. ĐÁNH GIÁ TÁC ĐỘNG CỦA THỦ TỤC HÀNH CHÍNH</w:t>
      </w:r>
    </w:p>
    <w:p w14:paraId="0F24151C" w14:textId="278ECC24" w:rsidR="00CB2E59" w:rsidRPr="0010207E" w:rsidRDefault="00702A8F" w:rsidP="00A0000E">
      <w:pPr>
        <w:spacing w:before="80" w:after="100" w:line="264" w:lineRule="auto"/>
        <w:ind w:firstLine="720"/>
        <w:jc w:val="both"/>
        <w:rPr>
          <w:rFonts w:asciiTheme="majorHAnsi" w:eastAsia="MS Mincho" w:hAnsiTheme="majorHAnsi" w:cstheme="majorHAnsi"/>
          <w:b/>
          <w:sz w:val="28"/>
          <w:szCs w:val="28"/>
        </w:rPr>
      </w:pPr>
      <w:r w:rsidRPr="0010207E">
        <w:rPr>
          <w:rFonts w:asciiTheme="majorHAnsi" w:eastAsia="MS Mincho" w:hAnsiTheme="majorHAnsi" w:cstheme="majorHAnsi"/>
          <w:b/>
          <w:sz w:val="28"/>
          <w:szCs w:val="28"/>
        </w:rPr>
        <w:t xml:space="preserve">1. </w:t>
      </w:r>
      <w:r w:rsidR="003140A5" w:rsidRPr="0010207E">
        <w:rPr>
          <w:rFonts w:asciiTheme="majorHAnsi" w:eastAsia="MS Mincho" w:hAnsiTheme="majorHAnsi" w:cstheme="majorHAnsi"/>
          <w:b/>
          <w:sz w:val="28"/>
          <w:szCs w:val="28"/>
        </w:rPr>
        <w:t>Những</w:t>
      </w:r>
      <w:r w:rsidRPr="0010207E">
        <w:rPr>
          <w:rFonts w:asciiTheme="majorHAnsi" w:eastAsia="MS Mincho" w:hAnsiTheme="majorHAnsi" w:cstheme="majorHAnsi"/>
          <w:b/>
          <w:sz w:val="28"/>
          <w:szCs w:val="28"/>
        </w:rPr>
        <w:t xml:space="preserve"> </w:t>
      </w:r>
      <w:r w:rsidR="005D4391" w:rsidRPr="0010207E">
        <w:rPr>
          <w:rFonts w:asciiTheme="majorHAnsi" w:eastAsia="MS Mincho" w:hAnsiTheme="majorHAnsi" w:cstheme="majorHAnsi"/>
          <w:b/>
          <w:sz w:val="28"/>
          <w:szCs w:val="28"/>
        </w:rPr>
        <w:t>TTHC</w:t>
      </w:r>
      <w:r w:rsidRPr="0010207E">
        <w:rPr>
          <w:rFonts w:asciiTheme="majorHAnsi" w:eastAsia="MS Mincho" w:hAnsiTheme="majorHAnsi" w:cstheme="majorHAnsi"/>
          <w:b/>
          <w:sz w:val="28"/>
          <w:szCs w:val="28"/>
        </w:rPr>
        <w:t xml:space="preserve"> dự kiến ban hành mới</w:t>
      </w:r>
      <w:r w:rsidR="00AD7B31" w:rsidRPr="0010207E">
        <w:rPr>
          <w:rFonts w:asciiTheme="majorHAnsi" w:eastAsia="MS Mincho" w:hAnsiTheme="majorHAnsi" w:cstheme="majorHAnsi"/>
          <w:b/>
          <w:sz w:val="28"/>
          <w:szCs w:val="28"/>
        </w:rPr>
        <w:t xml:space="preserve"> </w:t>
      </w:r>
      <w:r w:rsidR="00AD7B31" w:rsidRPr="0010207E">
        <w:rPr>
          <w:rFonts w:asciiTheme="majorHAnsi" w:eastAsia="MS Mincho" w:hAnsiTheme="majorHAnsi" w:cstheme="majorHAnsi"/>
          <w:bCs/>
          <w:sz w:val="28"/>
          <w:szCs w:val="28"/>
        </w:rPr>
        <w:t>(</w:t>
      </w:r>
      <w:r w:rsidR="00AD7B31" w:rsidRPr="0010207E">
        <w:rPr>
          <w:rFonts w:asciiTheme="majorHAnsi" w:eastAsia="MS Mincho" w:hAnsiTheme="majorHAnsi" w:cstheme="majorHAnsi"/>
          <w:bCs/>
          <w:i/>
          <w:sz w:val="28"/>
          <w:szCs w:val="28"/>
        </w:rPr>
        <w:t>Điều 17, 18, 19</w:t>
      </w:r>
      <w:r w:rsidR="00975F23" w:rsidRPr="0010207E">
        <w:rPr>
          <w:rFonts w:asciiTheme="majorHAnsi" w:eastAsia="MS Mincho" w:hAnsiTheme="majorHAnsi" w:cstheme="majorHAnsi"/>
          <w:bCs/>
          <w:i/>
          <w:sz w:val="28"/>
          <w:szCs w:val="28"/>
        </w:rPr>
        <w:t>, 20, 21, 22</w:t>
      </w:r>
      <w:r w:rsidR="00AD7B31" w:rsidRPr="0010207E">
        <w:rPr>
          <w:rFonts w:asciiTheme="majorHAnsi" w:eastAsia="MS Mincho" w:hAnsiTheme="majorHAnsi" w:cstheme="majorHAnsi"/>
          <w:bCs/>
          <w:i/>
          <w:sz w:val="28"/>
          <w:szCs w:val="28"/>
        </w:rPr>
        <w:t xml:space="preserve"> Dự thảo Luật</w:t>
      </w:r>
      <w:r w:rsidR="00DE602C" w:rsidRPr="0010207E">
        <w:rPr>
          <w:rFonts w:asciiTheme="majorHAnsi" w:eastAsia="MS Mincho" w:hAnsiTheme="majorHAnsi" w:cstheme="majorHAnsi"/>
          <w:bCs/>
          <w:i/>
          <w:sz w:val="28"/>
          <w:szCs w:val="28"/>
        </w:rPr>
        <w:t xml:space="preserve"> Nhà giáo</w:t>
      </w:r>
      <w:r w:rsidR="00AD7B31" w:rsidRPr="0010207E">
        <w:rPr>
          <w:rFonts w:asciiTheme="majorHAnsi" w:eastAsia="MS Mincho" w:hAnsiTheme="majorHAnsi" w:cstheme="majorHAnsi"/>
          <w:bCs/>
          <w:sz w:val="28"/>
          <w:szCs w:val="28"/>
        </w:rPr>
        <w:t>)</w:t>
      </w:r>
    </w:p>
    <w:p w14:paraId="2D51C4FD" w14:textId="128F8EE0" w:rsidR="00AD7B31" w:rsidRPr="0010207E" w:rsidRDefault="007771E0"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sz w:val="28"/>
          <w:szCs w:val="28"/>
        </w:rPr>
        <w:t xml:space="preserve">Qua rà soát nội dung, </w:t>
      </w:r>
      <w:r w:rsidR="00C17CBB" w:rsidRPr="0010207E">
        <w:rPr>
          <w:rFonts w:asciiTheme="majorHAnsi" w:hAnsiTheme="majorHAnsi" w:cstheme="majorHAnsi"/>
          <w:sz w:val="28"/>
          <w:szCs w:val="28"/>
        </w:rPr>
        <w:t>D</w:t>
      </w:r>
      <w:r w:rsidRPr="0010207E">
        <w:rPr>
          <w:rFonts w:asciiTheme="majorHAnsi" w:hAnsiTheme="majorHAnsi" w:cstheme="majorHAnsi"/>
          <w:sz w:val="28"/>
          <w:szCs w:val="28"/>
        </w:rPr>
        <w:t xml:space="preserve">ự thảo Luật Nhà giáo quy định </w:t>
      </w:r>
      <w:r w:rsidR="00DE602C" w:rsidRPr="0010207E">
        <w:rPr>
          <w:rFonts w:asciiTheme="majorHAnsi" w:hAnsiTheme="majorHAnsi" w:cstheme="majorHAnsi"/>
          <w:sz w:val="28"/>
          <w:szCs w:val="28"/>
        </w:rPr>
        <w:t>0</w:t>
      </w:r>
      <w:r w:rsidR="00872A1D" w:rsidRPr="0010207E">
        <w:rPr>
          <w:rFonts w:asciiTheme="majorHAnsi" w:hAnsiTheme="majorHAnsi" w:cstheme="majorHAnsi"/>
          <w:sz w:val="28"/>
          <w:szCs w:val="28"/>
        </w:rPr>
        <w:t>5</w:t>
      </w:r>
      <w:r w:rsidR="00C17CBB" w:rsidRPr="0010207E">
        <w:rPr>
          <w:rFonts w:asciiTheme="majorHAnsi" w:hAnsiTheme="majorHAnsi" w:cstheme="majorHAnsi"/>
          <w:sz w:val="28"/>
          <w:szCs w:val="28"/>
        </w:rPr>
        <w:t xml:space="preserve"> nhóm</w:t>
      </w:r>
      <w:r w:rsidRPr="0010207E">
        <w:rPr>
          <w:rFonts w:asciiTheme="majorHAnsi" w:hAnsiTheme="majorHAnsi" w:cstheme="majorHAnsi"/>
          <w:sz w:val="28"/>
          <w:szCs w:val="28"/>
        </w:rPr>
        <w:t xml:space="preserve"> TTHC mới thuộc đối tượng phải đánh giá tác động TTHC có liên quan đến giấy phép </w:t>
      </w:r>
      <w:r w:rsidR="00FE4C92" w:rsidRPr="0010207E">
        <w:rPr>
          <w:rFonts w:asciiTheme="majorHAnsi" w:hAnsiTheme="majorHAnsi" w:cstheme="majorHAnsi"/>
          <w:sz w:val="28"/>
          <w:szCs w:val="28"/>
        </w:rPr>
        <w:t>hành nghề dạy học</w:t>
      </w:r>
      <w:r w:rsidRPr="0010207E">
        <w:rPr>
          <w:rFonts w:asciiTheme="majorHAnsi" w:hAnsiTheme="majorHAnsi" w:cstheme="majorHAnsi"/>
          <w:sz w:val="28"/>
          <w:szCs w:val="28"/>
        </w:rPr>
        <w:t>.</w:t>
      </w:r>
      <w:r w:rsidRPr="0010207E">
        <w:rPr>
          <w:rFonts w:asciiTheme="majorHAnsi" w:hAnsiTheme="majorHAnsi" w:cstheme="majorHAnsi"/>
          <w:iCs/>
          <w:spacing w:val="2"/>
          <w:sz w:val="28"/>
          <w:szCs w:val="28"/>
        </w:rPr>
        <w:t xml:space="preserve"> </w:t>
      </w:r>
      <w:r w:rsidR="00AD7B31" w:rsidRPr="0010207E">
        <w:rPr>
          <w:rFonts w:asciiTheme="majorHAnsi" w:hAnsiTheme="majorHAnsi" w:cstheme="majorHAnsi"/>
          <w:iCs/>
          <w:spacing w:val="2"/>
          <w:sz w:val="28"/>
          <w:szCs w:val="28"/>
        </w:rPr>
        <w:t>Cụ thể:</w:t>
      </w:r>
    </w:p>
    <w:p w14:paraId="764A9448" w14:textId="223055FD" w:rsidR="00702A8F" w:rsidRPr="0010207E" w:rsidRDefault="003140A5"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(1) </w:t>
      </w:r>
      <w:bookmarkStart w:id="2" w:name="_Hlk170715176"/>
      <w:r w:rsidR="00AD7B31" w:rsidRPr="0010207E">
        <w:rPr>
          <w:rFonts w:asciiTheme="majorHAnsi" w:hAnsiTheme="majorHAnsi" w:cstheme="majorHAnsi"/>
          <w:iCs/>
          <w:spacing w:val="2"/>
          <w:sz w:val="28"/>
          <w:szCs w:val="28"/>
        </w:rPr>
        <w:t>Nhóm</w:t>
      </w:r>
      <w:r w:rsidRPr="0010207E">
        <w:rPr>
          <w:rFonts w:asciiTheme="majorHAnsi" w:hAnsiTheme="majorHAnsi" w:cstheme="majorHAnsi"/>
          <w:iCs/>
          <w:spacing w:val="2"/>
          <w:sz w:val="28"/>
          <w:szCs w:val="28"/>
        </w:rPr>
        <w:t xml:space="preserve"> </w:t>
      </w:r>
      <w:r w:rsidR="00AD7B31" w:rsidRPr="0010207E">
        <w:rPr>
          <w:rFonts w:asciiTheme="majorHAnsi" w:hAnsiTheme="majorHAnsi" w:cstheme="majorHAnsi"/>
          <w:iCs/>
          <w:spacing w:val="2"/>
          <w:sz w:val="28"/>
          <w:szCs w:val="28"/>
        </w:rPr>
        <w:t>TTHC</w:t>
      </w:r>
      <w:r w:rsidRPr="0010207E">
        <w:rPr>
          <w:rFonts w:asciiTheme="majorHAnsi" w:hAnsiTheme="majorHAnsi" w:cstheme="majorHAnsi"/>
          <w:iCs/>
          <w:spacing w:val="2"/>
          <w:sz w:val="28"/>
          <w:szCs w:val="28"/>
        </w:rPr>
        <w:t xml:space="preserve"> cấp</w:t>
      </w:r>
      <w:r w:rsidR="00485C56" w:rsidRPr="0010207E">
        <w:rPr>
          <w:rFonts w:asciiTheme="majorHAnsi" w:hAnsiTheme="majorHAnsi" w:cstheme="majorHAnsi"/>
          <w:iCs/>
          <w:spacing w:val="2"/>
          <w:sz w:val="28"/>
          <w:szCs w:val="28"/>
        </w:rPr>
        <w:t xml:space="preserve"> </w:t>
      </w:r>
      <w:r w:rsidRPr="0010207E">
        <w:rPr>
          <w:rFonts w:asciiTheme="majorHAnsi" w:hAnsiTheme="majorHAnsi" w:cstheme="majorHAnsi"/>
          <w:iCs/>
          <w:spacing w:val="2"/>
          <w:sz w:val="28"/>
          <w:szCs w:val="28"/>
        </w:rPr>
        <w:t xml:space="preserve">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w:t>
      </w:r>
      <w:r w:rsidR="00AD7B31" w:rsidRPr="0010207E">
        <w:rPr>
          <w:rFonts w:asciiTheme="majorHAnsi" w:hAnsiTheme="majorHAnsi" w:cstheme="majorHAnsi"/>
          <w:iCs/>
          <w:spacing w:val="2"/>
          <w:sz w:val="28"/>
          <w:szCs w:val="28"/>
        </w:rPr>
        <w:t>(được chia theo thẩm quyền giải quyết TTHC</w:t>
      </w:r>
      <w:bookmarkEnd w:id="2"/>
      <w:r w:rsidR="00AD7B31" w:rsidRPr="0010207E">
        <w:rPr>
          <w:rFonts w:asciiTheme="majorHAnsi" w:hAnsiTheme="majorHAnsi" w:cstheme="majorHAnsi"/>
          <w:iCs/>
          <w:spacing w:val="2"/>
          <w:sz w:val="28"/>
          <w:szCs w:val="28"/>
        </w:rPr>
        <w:t xml:space="preserve">: </w:t>
      </w:r>
      <w:r w:rsidR="007771E0" w:rsidRPr="0010207E">
        <w:rPr>
          <w:rFonts w:asciiTheme="majorHAnsi" w:hAnsiTheme="majorHAnsi" w:cstheme="majorHAnsi"/>
          <w:iCs/>
          <w:spacing w:val="2"/>
          <w:sz w:val="28"/>
          <w:szCs w:val="28"/>
        </w:rPr>
        <w:t xml:space="preserve">(i) </w:t>
      </w:r>
      <w:r w:rsidR="00C17CBB" w:rsidRPr="0010207E">
        <w:rPr>
          <w:rFonts w:asciiTheme="majorHAnsi" w:hAnsiTheme="majorHAnsi" w:cstheme="majorHAnsi"/>
          <w:iCs/>
          <w:spacing w:val="2"/>
          <w:sz w:val="28"/>
          <w:szCs w:val="28"/>
        </w:rPr>
        <w:t>cấp TW</w:t>
      </w:r>
      <w:r w:rsidR="00FE4C92" w:rsidRPr="0010207E">
        <w:rPr>
          <w:rFonts w:asciiTheme="majorHAnsi" w:hAnsiTheme="majorHAnsi" w:cstheme="majorHAnsi"/>
          <w:iCs/>
          <w:spacing w:val="2"/>
          <w:sz w:val="28"/>
          <w:szCs w:val="28"/>
        </w:rPr>
        <w:t>:</w:t>
      </w:r>
      <w:r w:rsidR="00C17CBB" w:rsidRPr="0010207E">
        <w:rPr>
          <w:rFonts w:asciiTheme="majorHAnsi" w:hAnsiTheme="majorHAnsi" w:cstheme="majorHAnsi"/>
          <w:iCs/>
          <w:spacing w:val="2"/>
          <w:sz w:val="28"/>
          <w:szCs w:val="28"/>
        </w:rPr>
        <w:t xml:space="preserve"> </w:t>
      </w:r>
      <w:r w:rsidRPr="0010207E">
        <w:rPr>
          <w:rFonts w:asciiTheme="majorHAnsi" w:hAnsiTheme="majorHAnsi" w:cstheme="majorHAnsi"/>
          <w:iCs/>
          <w:spacing w:val="2"/>
          <w:sz w:val="28"/>
          <w:szCs w:val="28"/>
        </w:rPr>
        <w:t>đối với giảng viên, giáo viên dự bị đại học</w:t>
      </w:r>
      <w:r w:rsidR="00AD7B31" w:rsidRPr="0010207E">
        <w:rPr>
          <w:rFonts w:asciiTheme="majorHAnsi" w:hAnsiTheme="majorHAnsi" w:cstheme="majorHAnsi"/>
          <w:iCs/>
          <w:spacing w:val="2"/>
          <w:sz w:val="28"/>
          <w:szCs w:val="28"/>
        </w:rPr>
        <w:t xml:space="preserve"> thuộc thẩm quyền quản lý của Bộ GDĐT, Bộ LĐTBXH</w:t>
      </w:r>
      <w:r w:rsidRPr="0010207E">
        <w:rPr>
          <w:rFonts w:asciiTheme="majorHAnsi" w:hAnsiTheme="majorHAnsi" w:cstheme="majorHAnsi"/>
          <w:iCs/>
          <w:spacing w:val="2"/>
          <w:sz w:val="28"/>
          <w:szCs w:val="28"/>
        </w:rPr>
        <w:t xml:space="preserve">; </w:t>
      </w:r>
      <w:r w:rsidR="007771E0" w:rsidRPr="0010207E">
        <w:rPr>
          <w:rFonts w:asciiTheme="majorHAnsi" w:hAnsiTheme="majorHAnsi" w:cstheme="majorHAnsi"/>
          <w:iCs/>
          <w:spacing w:val="2"/>
          <w:sz w:val="28"/>
          <w:szCs w:val="28"/>
        </w:rPr>
        <w:t>(ii)</w:t>
      </w:r>
      <w:r w:rsidR="00C17CBB" w:rsidRPr="0010207E">
        <w:rPr>
          <w:rFonts w:asciiTheme="majorHAnsi" w:hAnsiTheme="majorHAnsi" w:cstheme="majorHAnsi"/>
          <w:iCs/>
          <w:spacing w:val="2"/>
          <w:sz w:val="28"/>
          <w:szCs w:val="28"/>
        </w:rPr>
        <w:t xml:space="preserve"> cấp tỉnh:</w:t>
      </w:r>
      <w:r w:rsidR="007771E0" w:rsidRPr="0010207E">
        <w:rPr>
          <w:rFonts w:asciiTheme="majorHAnsi" w:hAnsiTheme="majorHAnsi" w:cstheme="majorHAnsi"/>
          <w:iCs/>
          <w:spacing w:val="2"/>
          <w:sz w:val="28"/>
          <w:szCs w:val="28"/>
        </w:rPr>
        <w:t xml:space="preserve"> </w:t>
      </w:r>
      <w:r w:rsidRPr="0010207E">
        <w:rPr>
          <w:rFonts w:asciiTheme="majorHAnsi" w:hAnsiTheme="majorHAnsi" w:cstheme="majorHAnsi"/>
          <w:iCs/>
          <w:spacing w:val="2"/>
          <w:sz w:val="28"/>
          <w:szCs w:val="28"/>
        </w:rPr>
        <w:t xml:space="preserve">nhà giáo của các cơ sở giáo dục thuộc thẩm quyền quản lý của Sở GDĐT, </w:t>
      </w:r>
      <w:r w:rsidR="00C17CBB" w:rsidRPr="0010207E">
        <w:rPr>
          <w:rFonts w:asciiTheme="majorHAnsi" w:hAnsiTheme="majorHAnsi" w:cstheme="majorHAnsi"/>
          <w:iCs/>
          <w:spacing w:val="2"/>
          <w:sz w:val="28"/>
          <w:szCs w:val="28"/>
        </w:rPr>
        <w:t xml:space="preserve">Sở LĐTBXH </w:t>
      </w:r>
      <w:r w:rsidRPr="0010207E">
        <w:rPr>
          <w:rFonts w:asciiTheme="majorHAnsi" w:hAnsiTheme="majorHAnsi" w:cstheme="majorHAnsi"/>
          <w:iCs/>
          <w:spacing w:val="2"/>
          <w:sz w:val="28"/>
          <w:szCs w:val="28"/>
        </w:rPr>
        <w:t xml:space="preserve">; </w:t>
      </w:r>
      <w:r w:rsidR="007771E0" w:rsidRPr="0010207E">
        <w:rPr>
          <w:rFonts w:asciiTheme="majorHAnsi" w:hAnsiTheme="majorHAnsi" w:cstheme="majorHAnsi"/>
          <w:iCs/>
          <w:spacing w:val="2"/>
          <w:sz w:val="28"/>
          <w:szCs w:val="28"/>
        </w:rPr>
        <w:t xml:space="preserve">(iii) </w:t>
      </w:r>
      <w:r w:rsidR="00C17CBB" w:rsidRPr="0010207E">
        <w:rPr>
          <w:rFonts w:asciiTheme="majorHAnsi" w:hAnsiTheme="majorHAnsi" w:cstheme="majorHAnsi"/>
          <w:iCs/>
          <w:spacing w:val="2"/>
          <w:sz w:val="28"/>
          <w:szCs w:val="28"/>
        </w:rPr>
        <w:t xml:space="preserve">cấp huyện: </w:t>
      </w:r>
      <w:r w:rsidRPr="0010207E">
        <w:rPr>
          <w:rFonts w:asciiTheme="majorHAnsi" w:hAnsiTheme="majorHAnsi" w:cstheme="majorHAnsi"/>
          <w:iCs/>
          <w:spacing w:val="2"/>
          <w:sz w:val="28"/>
          <w:szCs w:val="28"/>
        </w:rPr>
        <w:t xml:space="preserve">nhà giáo của các cơ sở giáo dục thuộc thẩm quyền quản lý của </w:t>
      </w:r>
      <w:r w:rsidR="00C17CBB" w:rsidRPr="0010207E">
        <w:rPr>
          <w:rFonts w:asciiTheme="majorHAnsi" w:hAnsiTheme="majorHAnsi" w:cstheme="majorHAnsi"/>
          <w:iCs/>
          <w:spacing w:val="2"/>
          <w:sz w:val="28"/>
          <w:szCs w:val="28"/>
        </w:rPr>
        <w:t>Phòng GDĐT</w:t>
      </w:r>
      <w:r w:rsidRPr="0010207E">
        <w:rPr>
          <w:rFonts w:asciiTheme="majorHAnsi" w:hAnsiTheme="majorHAnsi" w:cstheme="majorHAnsi"/>
          <w:iCs/>
          <w:spacing w:val="2"/>
          <w:sz w:val="28"/>
          <w:szCs w:val="28"/>
        </w:rPr>
        <w:t>, Phòng LĐTBXH</w:t>
      </w:r>
      <w:r w:rsidR="00AD7B31" w:rsidRPr="0010207E">
        <w:rPr>
          <w:rFonts w:asciiTheme="majorHAnsi" w:hAnsiTheme="majorHAnsi" w:cstheme="majorHAnsi"/>
          <w:iCs/>
          <w:spacing w:val="2"/>
          <w:sz w:val="28"/>
          <w:szCs w:val="28"/>
        </w:rPr>
        <w:t>)</w:t>
      </w:r>
      <w:r w:rsidRPr="0010207E">
        <w:rPr>
          <w:rFonts w:asciiTheme="majorHAnsi" w:hAnsiTheme="majorHAnsi" w:cstheme="majorHAnsi"/>
          <w:iCs/>
          <w:spacing w:val="2"/>
          <w:sz w:val="28"/>
          <w:szCs w:val="28"/>
        </w:rPr>
        <w:t>.</w:t>
      </w:r>
    </w:p>
    <w:p w14:paraId="02D9E0B8" w14:textId="335F8DD2" w:rsidR="003140A5" w:rsidRPr="0010207E" w:rsidRDefault="003140A5"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(2) </w:t>
      </w:r>
      <w:r w:rsidR="00AD7B31" w:rsidRPr="0010207E">
        <w:rPr>
          <w:rFonts w:asciiTheme="majorHAnsi" w:hAnsiTheme="majorHAnsi" w:cstheme="majorHAnsi"/>
          <w:iCs/>
          <w:spacing w:val="2"/>
          <w:sz w:val="28"/>
          <w:szCs w:val="28"/>
        </w:rPr>
        <w:t>Nhóm TTHC</w:t>
      </w:r>
      <w:r w:rsidRPr="0010207E">
        <w:rPr>
          <w:rFonts w:asciiTheme="majorHAnsi" w:hAnsiTheme="majorHAnsi" w:cstheme="majorHAnsi"/>
          <w:iCs/>
          <w:spacing w:val="2"/>
          <w:sz w:val="28"/>
          <w:szCs w:val="28"/>
        </w:rPr>
        <w:t xml:space="preserve"> cấp lại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w:t>
      </w:r>
      <w:r w:rsidR="00AD7B31" w:rsidRPr="0010207E">
        <w:rPr>
          <w:rFonts w:asciiTheme="majorHAnsi" w:hAnsiTheme="majorHAnsi" w:cstheme="majorHAnsi"/>
          <w:iCs/>
          <w:spacing w:val="2"/>
          <w:sz w:val="28"/>
          <w:szCs w:val="28"/>
        </w:rPr>
        <w:t xml:space="preserve">(được chia theo thẩm quyền giải quyết TTHC: </w:t>
      </w:r>
      <w:r w:rsidR="00C17CBB" w:rsidRPr="0010207E">
        <w:rPr>
          <w:rFonts w:asciiTheme="majorHAnsi" w:hAnsiTheme="majorHAnsi" w:cstheme="majorHAnsi"/>
          <w:iCs/>
          <w:spacing w:val="2"/>
          <w:sz w:val="28"/>
          <w:szCs w:val="28"/>
        </w:rPr>
        <w:t>(i) cấp TW</w:t>
      </w:r>
      <w:r w:rsidR="00FE4C92" w:rsidRPr="0010207E">
        <w:rPr>
          <w:rFonts w:asciiTheme="majorHAnsi" w:hAnsiTheme="majorHAnsi" w:cstheme="majorHAnsi"/>
          <w:iCs/>
          <w:spacing w:val="2"/>
          <w:sz w:val="28"/>
          <w:szCs w:val="28"/>
        </w:rPr>
        <w:t>:</w:t>
      </w:r>
      <w:r w:rsidR="00C17CBB" w:rsidRPr="0010207E">
        <w:rPr>
          <w:rFonts w:asciiTheme="majorHAnsi" w:hAnsiTheme="majorHAnsi" w:cstheme="majorHAnsi"/>
          <w:iCs/>
          <w:spacing w:val="2"/>
          <w:sz w:val="28"/>
          <w:szCs w:val="28"/>
        </w:rPr>
        <w:t xml:space="preserve"> đối với giảng viên, giáo viên dự bị đại học thuộc thẩm quyền quản lý của Bộ GDĐT, Bộ LĐTBXH; (ii) cấp tỉnh: nhà giáo của các cơ sở giáo dục thuộc thẩm quyền quản lý của Sở GDĐT, Sở LĐTBXH ; (iii) cấp huyện: nhà giáo của các cơ sở giáo dục thuộc thẩm quyền quản lý của Phòng GDĐT, Phòng LĐTBXH</w:t>
      </w:r>
      <w:r w:rsidR="00AD7B31" w:rsidRPr="0010207E">
        <w:rPr>
          <w:rFonts w:asciiTheme="majorHAnsi" w:hAnsiTheme="majorHAnsi" w:cstheme="majorHAnsi"/>
          <w:iCs/>
          <w:spacing w:val="2"/>
          <w:sz w:val="28"/>
          <w:szCs w:val="28"/>
        </w:rPr>
        <w:t>).</w:t>
      </w:r>
    </w:p>
    <w:p w14:paraId="1F3C8C91" w14:textId="57423677" w:rsidR="003140A5" w:rsidRPr="0010207E" w:rsidRDefault="003140A5"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(3</w:t>
      </w:r>
      <w:r w:rsidR="00AD7B31" w:rsidRPr="0010207E">
        <w:rPr>
          <w:rFonts w:asciiTheme="majorHAnsi" w:hAnsiTheme="majorHAnsi" w:cstheme="majorHAnsi"/>
          <w:iCs/>
          <w:spacing w:val="2"/>
          <w:sz w:val="28"/>
          <w:szCs w:val="28"/>
        </w:rPr>
        <w:t>) Nhóm TTHC</w:t>
      </w:r>
      <w:r w:rsidRPr="0010207E">
        <w:rPr>
          <w:rFonts w:asciiTheme="majorHAnsi" w:hAnsiTheme="majorHAnsi" w:cstheme="majorHAnsi"/>
          <w:iCs/>
          <w:spacing w:val="2"/>
          <w:sz w:val="28"/>
          <w:szCs w:val="28"/>
        </w:rPr>
        <w:t xml:space="preserve"> gia hạn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w:t>
      </w:r>
      <w:r w:rsidR="00AD7B31" w:rsidRPr="0010207E">
        <w:rPr>
          <w:rFonts w:asciiTheme="majorHAnsi" w:hAnsiTheme="majorHAnsi" w:cstheme="majorHAnsi"/>
          <w:iCs/>
          <w:spacing w:val="2"/>
          <w:sz w:val="28"/>
          <w:szCs w:val="28"/>
        </w:rPr>
        <w:t xml:space="preserve">(được chia theo thẩm quyền giải quyết TTHC: </w:t>
      </w:r>
      <w:r w:rsidR="00C17CBB" w:rsidRPr="0010207E">
        <w:rPr>
          <w:rFonts w:asciiTheme="majorHAnsi" w:hAnsiTheme="majorHAnsi" w:cstheme="majorHAnsi"/>
          <w:iCs/>
          <w:spacing w:val="2"/>
          <w:sz w:val="28"/>
          <w:szCs w:val="28"/>
        </w:rPr>
        <w:t>(i) cấp TW</w:t>
      </w:r>
      <w:r w:rsidR="00FE4C92" w:rsidRPr="0010207E">
        <w:rPr>
          <w:rFonts w:asciiTheme="majorHAnsi" w:hAnsiTheme="majorHAnsi" w:cstheme="majorHAnsi"/>
          <w:iCs/>
          <w:spacing w:val="2"/>
          <w:sz w:val="28"/>
          <w:szCs w:val="28"/>
        </w:rPr>
        <w:t>:</w:t>
      </w:r>
      <w:r w:rsidR="00C17CBB" w:rsidRPr="0010207E">
        <w:rPr>
          <w:rFonts w:asciiTheme="majorHAnsi" w:hAnsiTheme="majorHAnsi" w:cstheme="majorHAnsi"/>
          <w:iCs/>
          <w:spacing w:val="2"/>
          <w:sz w:val="28"/>
          <w:szCs w:val="28"/>
        </w:rPr>
        <w:t xml:space="preserve"> đối với giảng viên, giáo viên dự bị đại học thuộc thẩm quyền quản lý của Bộ GDĐT, Bộ LĐTBXH; (ii) cấp tỉnh: nhà giáo của các cơ sở giáo dục thuộc thẩm quyền quản lý của Sở GDĐT, Sở LĐTBXH ; (iii) cấp huyện: nhà giáo của các cơ sở giáo dục thuộc thẩm quyền quản lý của Phòng GDĐT, Phòng LĐTBXH</w:t>
      </w:r>
      <w:r w:rsidR="00AD7B31" w:rsidRPr="0010207E">
        <w:rPr>
          <w:rFonts w:asciiTheme="majorHAnsi" w:hAnsiTheme="majorHAnsi" w:cstheme="majorHAnsi"/>
          <w:iCs/>
          <w:spacing w:val="2"/>
          <w:sz w:val="28"/>
          <w:szCs w:val="28"/>
        </w:rPr>
        <w:t>)</w:t>
      </w:r>
      <w:r w:rsidR="007771E0" w:rsidRPr="0010207E">
        <w:rPr>
          <w:rFonts w:asciiTheme="majorHAnsi" w:hAnsiTheme="majorHAnsi" w:cstheme="majorHAnsi"/>
          <w:iCs/>
          <w:spacing w:val="2"/>
          <w:sz w:val="28"/>
          <w:szCs w:val="28"/>
        </w:rPr>
        <w:t>.</w:t>
      </w:r>
    </w:p>
    <w:p w14:paraId="317229B4" w14:textId="7BCF9822" w:rsidR="003140A5" w:rsidRPr="0010207E" w:rsidRDefault="003140A5"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(4) </w:t>
      </w:r>
      <w:r w:rsidR="00AD7B31" w:rsidRPr="0010207E">
        <w:rPr>
          <w:rFonts w:asciiTheme="majorHAnsi" w:hAnsiTheme="majorHAnsi" w:cstheme="majorHAnsi"/>
          <w:iCs/>
          <w:spacing w:val="2"/>
          <w:sz w:val="28"/>
          <w:szCs w:val="28"/>
        </w:rPr>
        <w:t>Nhóm TTHC</w:t>
      </w:r>
      <w:r w:rsidRPr="0010207E">
        <w:rPr>
          <w:rFonts w:asciiTheme="majorHAnsi" w:hAnsiTheme="majorHAnsi" w:cstheme="majorHAnsi"/>
          <w:iCs/>
          <w:spacing w:val="2"/>
          <w:sz w:val="28"/>
          <w:szCs w:val="28"/>
        </w:rPr>
        <w:t xml:space="preserve"> đề nghị</w:t>
      </w:r>
      <w:r w:rsidR="008A4183" w:rsidRPr="0010207E">
        <w:rPr>
          <w:rFonts w:asciiTheme="majorHAnsi" w:hAnsiTheme="majorHAnsi" w:cstheme="majorHAnsi"/>
          <w:iCs/>
          <w:spacing w:val="2"/>
          <w:sz w:val="28"/>
          <w:szCs w:val="28"/>
        </w:rPr>
        <w:t xml:space="preserve"> </w:t>
      </w:r>
      <w:r w:rsidR="00EE6457" w:rsidRPr="0010207E">
        <w:rPr>
          <w:rFonts w:asciiTheme="majorHAnsi" w:hAnsiTheme="majorHAnsi" w:cstheme="majorHAnsi"/>
          <w:iCs/>
          <w:spacing w:val="2"/>
          <w:sz w:val="28"/>
          <w:szCs w:val="28"/>
        </w:rPr>
        <w:t>bổ sung</w:t>
      </w:r>
      <w:r w:rsidRPr="0010207E">
        <w:rPr>
          <w:rFonts w:asciiTheme="majorHAnsi" w:hAnsiTheme="majorHAnsi" w:cstheme="majorHAnsi"/>
          <w:iCs/>
          <w:spacing w:val="2"/>
          <w:sz w:val="28"/>
          <w:szCs w:val="28"/>
        </w:rPr>
        <w:t xml:space="preserve"> thông tin hạng chức danh nhà giáo </w:t>
      </w:r>
      <w:r w:rsidR="00AD7B31" w:rsidRPr="0010207E">
        <w:rPr>
          <w:rFonts w:asciiTheme="majorHAnsi" w:hAnsiTheme="majorHAnsi" w:cstheme="majorHAnsi"/>
          <w:iCs/>
          <w:spacing w:val="2"/>
          <w:sz w:val="28"/>
          <w:szCs w:val="28"/>
        </w:rPr>
        <w:t xml:space="preserve">trong </w:t>
      </w:r>
      <w:r w:rsidRPr="0010207E">
        <w:rPr>
          <w:rFonts w:asciiTheme="majorHAnsi" w:hAnsiTheme="majorHAnsi" w:cstheme="majorHAnsi"/>
          <w:iCs/>
          <w:spacing w:val="2"/>
          <w:sz w:val="28"/>
          <w:szCs w:val="28"/>
        </w:rPr>
        <w:t xml:space="preserve">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w:t>
      </w:r>
      <w:r w:rsidR="00AD7B31" w:rsidRPr="0010207E">
        <w:rPr>
          <w:rFonts w:asciiTheme="majorHAnsi" w:hAnsiTheme="majorHAnsi" w:cstheme="majorHAnsi"/>
          <w:iCs/>
          <w:spacing w:val="2"/>
          <w:sz w:val="28"/>
          <w:szCs w:val="28"/>
        </w:rPr>
        <w:t xml:space="preserve">(được chia theo thẩm quyền giải quyết TTHC: </w:t>
      </w:r>
      <w:r w:rsidR="007771E0" w:rsidRPr="0010207E">
        <w:rPr>
          <w:rFonts w:asciiTheme="majorHAnsi" w:hAnsiTheme="majorHAnsi" w:cstheme="majorHAnsi"/>
          <w:iCs/>
          <w:spacing w:val="2"/>
          <w:sz w:val="28"/>
          <w:szCs w:val="28"/>
        </w:rPr>
        <w:t xml:space="preserve">(i) </w:t>
      </w:r>
      <w:r w:rsidR="00FE4C92" w:rsidRPr="0010207E">
        <w:rPr>
          <w:rFonts w:asciiTheme="majorHAnsi" w:hAnsiTheme="majorHAnsi" w:cstheme="majorHAnsi"/>
          <w:iCs/>
          <w:spacing w:val="2"/>
          <w:sz w:val="28"/>
          <w:szCs w:val="28"/>
        </w:rPr>
        <w:t xml:space="preserve">cấp TW: </w:t>
      </w:r>
      <w:r w:rsidR="007771E0" w:rsidRPr="0010207E">
        <w:rPr>
          <w:rFonts w:asciiTheme="majorHAnsi" w:hAnsiTheme="majorHAnsi" w:cstheme="majorHAnsi"/>
          <w:iCs/>
          <w:spacing w:val="2"/>
          <w:sz w:val="28"/>
          <w:szCs w:val="28"/>
        </w:rPr>
        <w:lastRenderedPageBreak/>
        <w:t xml:space="preserve">đối với giảng viên, giáo viên dự bị đại học thuộc thẩm quyền quản lý của Bộ GDĐT, Bộ LĐTBXH; (ii) </w:t>
      </w:r>
      <w:r w:rsidR="00FE4C92" w:rsidRPr="0010207E">
        <w:rPr>
          <w:rFonts w:asciiTheme="majorHAnsi" w:hAnsiTheme="majorHAnsi" w:cstheme="majorHAnsi"/>
          <w:iCs/>
          <w:spacing w:val="2"/>
          <w:sz w:val="28"/>
          <w:szCs w:val="28"/>
        </w:rPr>
        <w:t xml:space="preserve">cấp tỉnh: </w:t>
      </w:r>
      <w:r w:rsidR="007771E0" w:rsidRPr="0010207E">
        <w:rPr>
          <w:rFonts w:asciiTheme="majorHAnsi" w:hAnsiTheme="majorHAnsi" w:cstheme="majorHAnsi"/>
          <w:iCs/>
          <w:spacing w:val="2"/>
          <w:sz w:val="28"/>
          <w:szCs w:val="28"/>
        </w:rPr>
        <w:t xml:space="preserve">nhà giáo của các cơ sở giáo dục thuộc thẩm quyền quản lý của Sở GDĐT, </w:t>
      </w:r>
      <w:r w:rsidR="00FE4C92" w:rsidRPr="0010207E">
        <w:rPr>
          <w:rFonts w:asciiTheme="majorHAnsi" w:hAnsiTheme="majorHAnsi" w:cstheme="majorHAnsi"/>
          <w:iCs/>
          <w:spacing w:val="2"/>
          <w:sz w:val="28"/>
          <w:szCs w:val="28"/>
        </w:rPr>
        <w:t>Sở LĐTBXH</w:t>
      </w:r>
      <w:r w:rsidR="007771E0" w:rsidRPr="0010207E">
        <w:rPr>
          <w:rFonts w:asciiTheme="majorHAnsi" w:hAnsiTheme="majorHAnsi" w:cstheme="majorHAnsi"/>
          <w:iCs/>
          <w:spacing w:val="2"/>
          <w:sz w:val="28"/>
          <w:szCs w:val="28"/>
        </w:rPr>
        <w:t xml:space="preserve">; (iii) </w:t>
      </w:r>
      <w:r w:rsidR="00FE4C92" w:rsidRPr="0010207E">
        <w:rPr>
          <w:rFonts w:asciiTheme="majorHAnsi" w:hAnsiTheme="majorHAnsi" w:cstheme="majorHAnsi"/>
          <w:iCs/>
          <w:spacing w:val="2"/>
          <w:sz w:val="28"/>
          <w:szCs w:val="28"/>
        </w:rPr>
        <w:t xml:space="preserve">cấp huyện: </w:t>
      </w:r>
      <w:r w:rsidR="007771E0" w:rsidRPr="0010207E">
        <w:rPr>
          <w:rFonts w:asciiTheme="majorHAnsi" w:hAnsiTheme="majorHAnsi" w:cstheme="majorHAnsi"/>
          <w:iCs/>
          <w:spacing w:val="2"/>
          <w:sz w:val="28"/>
          <w:szCs w:val="28"/>
        </w:rPr>
        <w:t>nhà giáo của các cơ sở giáo dục thuộc thẩm quyền quản lý của</w:t>
      </w:r>
      <w:r w:rsidR="00FE4C92" w:rsidRPr="0010207E">
        <w:rPr>
          <w:rFonts w:asciiTheme="majorHAnsi" w:hAnsiTheme="majorHAnsi" w:cstheme="majorHAnsi"/>
          <w:iCs/>
          <w:spacing w:val="2"/>
          <w:sz w:val="28"/>
          <w:szCs w:val="28"/>
        </w:rPr>
        <w:t xml:space="preserve"> Phòng GDĐT</w:t>
      </w:r>
      <w:r w:rsidR="007771E0" w:rsidRPr="0010207E">
        <w:rPr>
          <w:rFonts w:asciiTheme="majorHAnsi" w:hAnsiTheme="majorHAnsi" w:cstheme="majorHAnsi"/>
          <w:iCs/>
          <w:spacing w:val="2"/>
          <w:sz w:val="28"/>
          <w:szCs w:val="28"/>
        </w:rPr>
        <w:t>, Phòng LĐTBXH</w:t>
      </w:r>
      <w:r w:rsidR="00AD7B31" w:rsidRPr="0010207E">
        <w:rPr>
          <w:rFonts w:asciiTheme="majorHAnsi" w:hAnsiTheme="majorHAnsi" w:cstheme="majorHAnsi"/>
          <w:iCs/>
          <w:spacing w:val="2"/>
          <w:sz w:val="28"/>
          <w:szCs w:val="28"/>
        </w:rPr>
        <w:t>).</w:t>
      </w:r>
    </w:p>
    <w:p w14:paraId="5CE7F764" w14:textId="3BB7B262" w:rsidR="00872A1D" w:rsidRPr="0010207E" w:rsidRDefault="00872A1D" w:rsidP="00872A1D">
      <w:pPr>
        <w:spacing w:before="60" w:after="60" w:line="360" w:lineRule="exact"/>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(5) Thủ tục </w:t>
      </w:r>
      <w:r w:rsidR="00EE6457" w:rsidRPr="0010207E">
        <w:rPr>
          <w:rFonts w:asciiTheme="majorHAnsi" w:hAnsiTheme="majorHAnsi" w:cstheme="majorHAnsi"/>
          <w:iCs/>
          <w:spacing w:val="2"/>
          <w:sz w:val="28"/>
          <w:szCs w:val="28"/>
        </w:rPr>
        <w:t>Công nhận tương đương với giấy phép hành nghề dạy học khi được thừa nhận theo điều ước quốc tế mà nước Cộng hòa xã hội chủ nghĩa Việt Nam</w:t>
      </w:r>
      <w:r w:rsidRPr="0010207E">
        <w:rPr>
          <w:rFonts w:asciiTheme="majorHAnsi" w:hAnsiTheme="majorHAnsi" w:cstheme="majorHAnsi"/>
          <w:iCs/>
          <w:spacing w:val="2"/>
          <w:sz w:val="28"/>
          <w:szCs w:val="28"/>
        </w:rPr>
        <w:t>.</w:t>
      </w:r>
    </w:p>
    <w:p w14:paraId="24861E6E" w14:textId="476AF21A" w:rsidR="007771E0" w:rsidRPr="0010207E" w:rsidRDefault="007771E0" w:rsidP="00A0000E">
      <w:pPr>
        <w:spacing w:before="80" w:after="100" w:line="264" w:lineRule="auto"/>
        <w:ind w:firstLine="720"/>
        <w:jc w:val="both"/>
        <w:rPr>
          <w:rFonts w:asciiTheme="majorHAnsi" w:hAnsiTheme="majorHAnsi" w:cstheme="majorHAnsi"/>
          <w:b/>
          <w:bCs/>
          <w:i/>
          <w:spacing w:val="2"/>
          <w:sz w:val="28"/>
          <w:szCs w:val="28"/>
        </w:rPr>
      </w:pPr>
      <w:r w:rsidRPr="0010207E">
        <w:rPr>
          <w:rFonts w:asciiTheme="majorHAnsi" w:hAnsiTheme="majorHAnsi" w:cstheme="majorHAnsi"/>
          <w:b/>
          <w:bCs/>
          <w:i/>
          <w:spacing w:val="2"/>
          <w:sz w:val="28"/>
          <w:szCs w:val="28"/>
        </w:rPr>
        <w:t>1.1. Sự cần thiết</w:t>
      </w:r>
    </w:p>
    <w:p w14:paraId="4CF30B17" w14:textId="77777777" w:rsidR="001450FC" w:rsidRPr="0010207E" w:rsidRDefault="007771E0"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Một số quy định của pháp luật về nhà giáo do áp dụng chung với viên chức các ngành, lĩnh vực khác nên chưa thực sự phù hợp (cụ thể: nhà giáo phải có chứng chỉ bồi dưỡng theo tiêu chuẩn chức danh nghề nghiệp trong khi ngành Giáo dục đã có các chương trình bồi dưỡng thường xuyên gây nên vấn nạn văn bằng, chứng chỉ; việc thừa/thiếu giáo viên mầm non, phổ thông tồn tại nhiều năm nhưng không thể giải quyết dứt điểm do cơ quan quản lý giáo dục các cấp không được chủ động điều tiết, tuyển dụng giáo viên; quy định về số lượng cấp phó trong đơn vị sự nghiệp công lập không phù hợp với các cơ sở giáo dục có quy mô lớn gây khó khăn cho hoạt động giáo dục…). </w:t>
      </w:r>
    </w:p>
    <w:p w14:paraId="5077E469" w14:textId="77777777" w:rsidR="001450FC" w:rsidRPr="0010207E" w:rsidRDefault="001450FC"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Nhiều ngành nghề khác ở Việt Nam như luật sư, bác sĩ cũng đã có quy định về chứng chỉ hành nghề. Phải có chứng chỉ mới được hành nghề. Chứng chỉ là minh chứng người đó đủ năng lực để làm công việc đó.</w:t>
      </w:r>
    </w:p>
    <w:p w14:paraId="59589465" w14:textId="4EE75457" w:rsidR="00932893" w:rsidRPr="0010207E" w:rsidRDefault="001450FC" w:rsidP="00A0000E">
      <w:pPr>
        <w:spacing w:before="80" w:after="100" w:line="264" w:lineRule="auto"/>
        <w:ind w:firstLine="720"/>
        <w:jc w:val="both"/>
        <w:rPr>
          <w:rFonts w:asciiTheme="majorHAnsi" w:hAnsiTheme="majorHAnsi" w:cstheme="majorHAnsi"/>
          <w:iCs/>
          <w:sz w:val="28"/>
          <w:szCs w:val="28"/>
        </w:rPr>
      </w:pPr>
      <w:r w:rsidRPr="0010207E">
        <w:rPr>
          <w:rFonts w:asciiTheme="majorHAnsi" w:hAnsiTheme="majorHAnsi" w:cstheme="majorHAnsi"/>
          <w:iCs/>
          <w:sz w:val="28"/>
          <w:szCs w:val="28"/>
        </w:rPr>
        <w:t xml:space="preserve">Đối với lĩnh vực giáo dục, hiện có đồng thời nhiều quy định về chuẩn nghề nghiệp và tiêu chuẩn chức danh giáo viên/giảng viên. Giấy phép </w:t>
      </w:r>
      <w:r w:rsidR="00FE4C92" w:rsidRPr="0010207E">
        <w:rPr>
          <w:rFonts w:asciiTheme="majorHAnsi" w:hAnsiTheme="majorHAnsi" w:cstheme="majorHAnsi"/>
          <w:iCs/>
          <w:sz w:val="28"/>
          <w:szCs w:val="28"/>
        </w:rPr>
        <w:t>hành nghề dạy học</w:t>
      </w:r>
      <w:r w:rsidRPr="0010207E">
        <w:rPr>
          <w:rFonts w:asciiTheme="majorHAnsi" w:hAnsiTheme="majorHAnsi" w:cstheme="majorHAnsi"/>
          <w:iCs/>
          <w:sz w:val="28"/>
          <w:szCs w:val="28"/>
        </w:rPr>
        <w:t xml:space="preserve"> sẽ thay thế những cái này với các tiêu chí cụ thể. Giấy phép </w:t>
      </w:r>
      <w:r w:rsidR="00FE4C92" w:rsidRPr="0010207E">
        <w:rPr>
          <w:rFonts w:asciiTheme="majorHAnsi" w:hAnsiTheme="majorHAnsi" w:cstheme="majorHAnsi"/>
          <w:iCs/>
          <w:sz w:val="28"/>
          <w:szCs w:val="28"/>
        </w:rPr>
        <w:t>hành nghề dạy học</w:t>
      </w:r>
      <w:r w:rsidRPr="0010207E">
        <w:rPr>
          <w:rFonts w:asciiTheme="majorHAnsi" w:hAnsiTheme="majorHAnsi" w:cstheme="majorHAnsi"/>
          <w:iCs/>
          <w:sz w:val="28"/>
          <w:szCs w:val="28"/>
        </w:rPr>
        <w:t xml:space="preserve"> </w:t>
      </w:r>
      <w:r w:rsidR="00910AAE" w:rsidRPr="0010207E">
        <w:rPr>
          <w:rFonts w:asciiTheme="majorHAnsi" w:hAnsiTheme="majorHAnsi" w:cstheme="majorHAnsi"/>
          <w:iCs/>
          <w:sz w:val="28"/>
          <w:szCs w:val="28"/>
        </w:rPr>
        <w:t xml:space="preserve">thể hiện tính chuyên nghiệp trong công tác giảng dạy của nhà giáo; </w:t>
      </w:r>
      <w:r w:rsidR="004D2FAC" w:rsidRPr="0010207E">
        <w:rPr>
          <w:rFonts w:asciiTheme="majorHAnsi" w:hAnsiTheme="majorHAnsi" w:cstheme="majorHAnsi"/>
          <w:iCs/>
          <w:sz w:val="28"/>
          <w:szCs w:val="28"/>
        </w:rPr>
        <w:t xml:space="preserve">là sự công nhận nhà giáo phù hợp để giảng dạy ở cấp học hoặc trình độ đào tạo nào; </w:t>
      </w:r>
      <w:r w:rsidRPr="0010207E">
        <w:rPr>
          <w:rFonts w:asciiTheme="majorHAnsi" w:hAnsiTheme="majorHAnsi" w:cstheme="majorHAnsi"/>
          <w:iCs/>
          <w:sz w:val="28"/>
          <w:szCs w:val="28"/>
        </w:rPr>
        <w:t xml:space="preserve">là một trong những công cụ để quản lý, giám sát việc thực hiện đạo đức nghề nghiệp của nhà giáo. Giấy phép hành nghề cũng là công cụ để nhà giáo phải thường xuyên học tập nâng cao trình độ chuyên môn, nâng hạng chức danh nhà giáo, cập nhật những thông tin mới về tiến bộ khoa học - kỹ thuật và các quy định của pháp luật trong lĩnh vực giáo dục. </w:t>
      </w:r>
    </w:p>
    <w:p w14:paraId="1BCC8117" w14:textId="3A952535" w:rsidR="001450FC" w:rsidRPr="0010207E" w:rsidRDefault="001450FC" w:rsidP="00A0000E">
      <w:pPr>
        <w:spacing w:before="80" w:after="100" w:line="264" w:lineRule="auto"/>
        <w:ind w:firstLine="720"/>
        <w:jc w:val="both"/>
        <w:rPr>
          <w:rFonts w:asciiTheme="majorHAnsi" w:hAnsiTheme="majorHAnsi" w:cstheme="majorHAnsi"/>
          <w:iCs/>
          <w:sz w:val="28"/>
          <w:szCs w:val="28"/>
        </w:rPr>
      </w:pPr>
      <w:r w:rsidRPr="0010207E">
        <w:rPr>
          <w:rFonts w:asciiTheme="majorHAnsi" w:hAnsiTheme="majorHAnsi" w:cstheme="majorHAnsi"/>
          <w:iCs/>
          <w:sz w:val="28"/>
          <w:szCs w:val="28"/>
        </w:rPr>
        <w:t xml:space="preserve">Giấy phép </w:t>
      </w:r>
      <w:r w:rsidR="00FE4C92" w:rsidRPr="0010207E">
        <w:rPr>
          <w:rFonts w:asciiTheme="majorHAnsi" w:hAnsiTheme="majorHAnsi" w:cstheme="majorHAnsi"/>
          <w:iCs/>
          <w:sz w:val="28"/>
          <w:szCs w:val="28"/>
        </w:rPr>
        <w:t>hành nghề dạy học</w:t>
      </w:r>
      <w:r w:rsidRPr="0010207E">
        <w:rPr>
          <w:rFonts w:asciiTheme="majorHAnsi" w:hAnsiTheme="majorHAnsi" w:cstheme="majorHAnsi"/>
          <w:iCs/>
          <w:sz w:val="28"/>
          <w:szCs w:val="28"/>
        </w:rPr>
        <w:t xml:space="preserve"> thay thế quyết định công nhận hoàn thành chế độ tập sự và chứng chỉ bồi dưỡng theo tiêu chuẩn chức danh nghề nghiệp nhà giáo hiện nay</w:t>
      </w:r>
      <w:r w:rsidR="00CE3900" w:rsidRPr="0010207E">
        <w:rPr>
          <w:rFonts w:asciiTheme="majorHAnsi" w:hAnsiTheme="majorHAnsi" w:cstheme="majorHAnsi"/>
          <w:iCs/>
          <w:sz w:val="28"/>
          <w:szCs w:val="28"/>
        </w:rPr>
        <w:t>; là căn cứ để đánh giá chất lượng, điều chỉnh các chương trình đào tạo sư phạm; là công cụ để quản lý, đánh giá quá trình phát triển nghề nghiệp liên tục của nhà giáo, đảm bảo chất lượng giáo dục; tạo điều kiện để nhà giáo mở rộng cơ hội hoạt động nghề nghiệp và hợp tác quốc tế</w:t>
      </w:r>
      <w:r w:rsidRPr="0010207E">
        <w:rPr>
          <w:rFonts w:asciiTheme="majorHAnsi" w:hAnsiTheme="majorHAnsi" w:cstheme="majorHAnsi"/>
          <w:iCs/>
          <w:sz w:val="28"/>
          <w:szCs w:val="28"/>
        </w:rPr>
        <w:t xml:space="preserve">. Giấy phép </w:t>
      </w:r>
      <w:r w:rsidR="00FE4C92" w:rsidRPr="0010207E">
        <w:rPr>
          <w:rFonts w:asciiTheme="majorHAnsi" w:hAnsiTheme="majorHAnsi" w:cstheme="majorHAnsi"/>
          <w:iCs/>
          <w:sz w:val="28"/>
          <w:szCs w:val="28"/>
        </w:rPr>
        <w:t>hành nghề dạy học</w:t>
      </w:r>
      <w:r w:rsidR="00D80364" w:rsidRPr="0010207E">
        <w:rPr>
          <w:rFonts w:asciiTheme="majorHAnsi" w:hAnsiTheme="majorHAnsi" w:cstheme="majorHAnsi"/>
          <w:iCs/>
          <w:sz w:val="28"/>
          <w:szCs w:val="28"/>
        </w:rPr>
        <w:t xml:space="preserve"> được cấp cho người có nguyện vọng làm nghề dạy học theo trình độ đào tạo hoặc phương thức giáo dục trong hệ thống giáo dục quốc dân khi đáp ứng đủ các điều kiện theo quy định. Dự thảo Luật cũng quy định số nhà giáo, cán bộ quản lý giáo dục được đặc cách cấp giấy phép hành nghề mà không yêu cầu đủ các điều kiện nhằm đảm bảo quyền lợi của những nhà giáo</w:t>
      </w:r>
      <w:r w:rsidR="00BC02E1" w:rsidRPr="0010207E">
        <w:rPr>
          <w:rFonts w:asciiTheme="majorHAnsi" w:hAnsiTheme="majorHAnsi" w:cstheme="majorHAnsi"/>
          <w:iCs/>
          <w:sz w:val="28"/>
          <w:szCs w:val="28"/>
        </w:rPr>
        <w:t>, cán bộ quản lý giáo dục</w:t>
      </w:r>
      <w:r w:rsidR="00D80364" w:rsidRPr="0010207E">
        <w:rPr>
          <w:rFonts w:asciiTheme="majorHAnsi" w:hAnsiTheme="majorHAnsi" w:cstheme="majorHAnsi"/>
          <w:iCs/>
          <w:sz w:val="28"/>
          <w:szCs w:val="28"/>
        </w:rPr>
        <w:t xml:space="preserve"> đang công tá</w:t>
      </w:r>
      <w:r w:rsidR="00910AAE" w:rsidRPr="0010207E">
        <w:rPr>
          <w:rFonts w:asciiTheme="majorHAnsi" w:hAnsiTheme="majorHAnsi" w:cstheme="majorHAnsi"/>
          <w:iCs/>
          <w:sz w:val="28"/>
          <w:szCs w:val="28"/>
        </w:rPr>
        <w:t>c</w:t>
      </w:r>
      <w:r w:rsidR="00BC02E1" w:rsidRPr="0010207E">
        <w:rPr>
          <w:rFonts w:asciiTheme="majorHAnsi" w:hAnsiTheme="majorHAnsi" w:cstheme="majorHAnsi"/>
          <w:iCs/>
          <w:sz w:val="28"/>
          <w:szCs w:val="28"/>
        </w:rPr>
        <w:t xml:space="preserve"> và đã nghỉ hưu theo quy định</w:t>
      </w:r>
      <w:r w:rsidR="00266665" w:rsidRPr="0010207E">
        <w:rPr>
          <w:rFonts w:asciiTheme="majorHAnsi" w:hAnsiTheme="majorHAnsi" w:cstheme="majorHAnsi"/>
          <w:iCs/>
          <w:sz w:val="28"/>
          <w:szCs w:val="28"/>
        </w:rPr>
        <w:t xml:space="preserve"> (</w:t>
      </w:r>
      <w:r w:rsidR="00266665" w:rsidRPr="0010207E">
        <w:rPr>
          <w:rFonts w:asciiTheme="majorHAnsi" w:hAnsiTheme="majorHAnsi" w:cstheme="majorHAnsi"/>
          <w:i/>
          <w:sz w:val="28"/>
          <w:szCs w:val="28"/>
        </w:rPr>
        <w:t xml:space="preserve">khoản 1 Điều 20 Dự </w:t>
      </w:r>
      <w:r w:rsidR="00266665" w:rsidRPr="0010207E">
        <w:rPr>
          <w:rFonts w:asciiTheme="majorHAnsi" w:hAnsiTheme="majorHAnsi" w:cstheme="majorHAnsi"/>
          <w:i/>
          <w:sz w:val="28"/>
          <w:szCs w:val="28"/>
        </w:rPr>
        <w:lastRenderedPageBreak/>
        <w:t>thảo Luật</w:t>
      </w:r>
      <w:r w:rsidR="00266665" w:rsidRPr="0010207E">
        <w:rPr>
          <w:rFonts w:asciiTheme="majorHAnsi" w:hAnsiTheme="majorHAnsi" w:cstheme="majorHAnsi"/>
          <w:iCs/>
          <w:sz w:val="28"/>
          <w:szCs w:val="28"/>
        </w:rPr>
        <w:t>)</w:t>
      </w:r>
      <w:r w:rsidR="00D80364" w:rsidRPr="0010207E">
        <w:rPr>
          <w:rFonts w:asciiTheme="majorHAnsi" w:hAnsiTheme="majorHAnsi" w:cstheme="majorHAnsi"/>
          <w:iCs/>
          <w:sz w:val="28"/>
          <w:szCs w:val="28"/>
        </w:rPr>
        <w:t>: (1) Nhà giáo đã được tuyển dụng, đang làm việc trong các cơ sở giáo dục trước ngày Luật này có hiệu lực thi hành</w:t>
      </w:r>
      <w:r w:rsidR="00CE3900" w:rsidRPr="0010207E">
        <w:rPr>
          <w:rFonts w:asciiTheme="majorHAnsi" w:hAnsiTheme="majorHAnsi" w:cstheme="majorHAnsi"/>
          <w:iCs/>
          <w:sz w:val="28"/>
          <w:szCs w:val="28"/>
        </w:rPr>
        <w:t>; (2</w:t>
      </w:r>
      <w:r w:rsidR="00D80364" w:rsidRPr="0010207E">
        <w:rPr>
          <w:rFonts w:asciiTheme="majorHAnsi" w:hAnsiTheme="majorHAnsi" w:cstheme="majorHAnsi"/>
          <w:iCs/>
          <w:sz w:val="28"/>
          <w:szCs w:val="28"/>
        </w:rPr>
        <w:t>) Cán bộ quản lý giáo dục đã có thời gian giảng dạy, giáo dục trong cơ sở giáo dục trước ngày Luật này có hiệu lực thi hành</w:t>
      </w:r>
      <w:r w:rsidR="00CE3900" w:rsidRPr="0010207E">
        <w:rPr>
          <w:rFonts w:asciiTheme="majorHAnsi" w:hAnsiTheme="majorHAnsi" w:cstheme="majorHAnsi"/>
          <w:iCs/>
          <w:sz w:val="28"/>
          <w:szCs w:val="28"/>
        </w:rPr>
        <w:t>; (3</w:t>
      </w:r>
      <w:r w:rsidR="00D80364" w:rsidRPr="0010207E">
        <w:rPr>
          <w:rFonts w:asciiTheme="majorHAnsi" w:hAnsiTheme="majorHAnsi" w:cstheme="majorHAnsi"/>
          <w:iCs/>
          <w:sz w:val="28"/>
          <w:szCs w:val="28"/>
        </w:rPr>
        <w:t>) Nhà giáo đã được tuyển dụng, làm việc trong các cơ sở giáo dục và nghỉ hưu trước ngày Luật này có hiệu lực thi hành</w:t>
      </w:r>
      <w:r w:rsidR="00CE3900" w:rsidRPr="0010207E">
        <w:rPr>
          <w:rFonts w:asciiTheme="majorHAnsi" w:hAnsiTheme="majorHAnsi" w:cstheme="majorHAnsi"/>
          <w:iCs/>
          <w:sz w:val="28"/>
          <w:szCs w:val="28"/>
        </w:rPr>
        <w:t xml:space="preserve">. </w:t>
      </w:r>
      <w:r w:rsidRPr="0010207E">
        <w:rPr>
          <w:rFonts w:asciiTheme="majorHAnsi" w:hAnsiTheme="majorHAnsi" w:cstheme="majorHAnsi"/>
          <w:iCs/>
          <w:spacing w:val="2"/>
          <w:sz w:val="28"/>
          <w:szCs w:val="28"/>
        </w:rPr>
        <w:t xml:space="preserve">Do đó, thủ tục cấp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sẽ được quy định khá đơn giản, vẫn đảm bảo mục tiêu quản lý nhà nước.</w:t>
      </w:r>
    </w:p>
    <w:p w14:paraId="4ABBE021" w14:textId="1A55AB79" w:rsidR="007771E0" w:rsidRPr="0010207E" w:rsidRDefault="004B1992"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Vi</w:t>
      </w:r>
      <w:r w:rsidR="007771E0" w:rsidRPr="0010207E">
        <w:rPr>
          <w:rFonts w:asciiTheme="majorHAnsi" w:hAnsiTheme="majorHAnsi" w:cstheme="majorHAnsi"/>
          <w:iCs/>
          <w:spacing w:val="2"/>
          <w:sz w:val="28"/>
          <w:szCs w:val="28"/>
        </w:rPr>
        <w:t xml:space="preserve">ệc quy định </w:t>
      </w:r>
      <w:r w:rsidRPr="0010207E">
        <w:rPr>
          <w:rFonts w:asciiTheme="majorHAnsi" w:hAnsiTheme="majorHAnsi" w:cstheme="majorHAnsi"/>
          <w:iCs/>
          <w:spacing w:val="2"/>
          <w:sz w:val="28"/>
          <w:szCs w:val="28"/>
        </w:rPr>
        <w:t>TTHC</w:t>
      </w:r>
      <w:r w:rsidR="007771E0" w:rsidRPr="0010207E">
        <w:rPr>
          <w:rFonts w:asciiTheme="majorHAnsi" w:hAnsiTheme="majorHAnsi" w:cstheme="majorHAnsi"/>
          <w:iCs/>
          <w:spacing w:val="2"/>
          <w:sz w:val="28"/>
          <w:szCs w:val="28"/>
        </w:rPr>
        <w:t xml:space="preserve"> liên quan đến cấp</w:t>
      </w:r>
      <w:r w:rsidRPr="0010207E">
        <w:rPr>
          <w:rFonts w:asciiTheme="majorHAnsi" w:hAnsiTheme="majorHAnsi" w:cstheme="majorHAnsi"/>
          <w:iCs/>
          <w:spacing w:val="2"/>
          <w:sz w:val="28"/>
          <w:szCs w:val="28"/>
        </w:rPr>
        <w:t xml:space="preserve">, cấp lại, </w:t>
      </w:r>
      <w:r w:rsidR="007F3B2F" w:rsidRPr="0010207E">
        <w:rPr>
          <w:rFonts w:asciiTheme="majorHAnsi" w:hAnsiTheme="majorHAnsi" w:cstheme="majorHAnsi"/>
          <w:iCs/>
          <w:spacing w:val="2"/>
          <w:sz w:val="28"/>
          <w:szCs w:val="28"/>
        </w:rPr>
        <w:t>thay đổi</w:t>
      </w:r>
      <w:r w:rsidRPr="0010207E">
        <w:rPr>
          <w:rFonts w:asciiTheme="majorHAnsi" w:hAnsiTheme="majorHAnsi" w:cstheme="majorHAnsi"/>
          <w:iCs/>
          <w:spacing w:val="2"/>
          <w:sz w:val="28"/>
          <w:szCs w:val="28"/>
        </w:rPr>
        <w:t xml:space="preserve"> thông tin, gia hạn, thu hồi</w:t>
      </w:r>
      <w:r w:rsidR="007771E0" w:rsidRPr="0010207E">
        <w:rPr>
          <w:rFonts w:asciiTheme="majorHAnsi" w:hAnsiTheme="majorHAnsi" w:cstheme="majorHAnsi"/>
          <w:iCs/>
          <w:spacing w:val="2"/>
          <w:sz w:val="28"/>
          <w:szCs w:val="28"/>
        </w:rPr>
        <w:t xml:space="preserve"> </w:t>
      </w:r>
      <w:r w:rsidRPr="0010207E">
        <w:rPr>
          <w:rFonts w:asciiTheme="majorHAnsi" w:hAnsiTheme="majorHAnsi" w:cstheme="majorHAnsi"/>
          <w:iCs/>
          <w:spacing w:val="2"/>
          <w:sz w:val="28"/>
          <w:szCs w:val="28"/>
        </w:rPr>
        <w:t xml:space="preserve">giấy phép </w:t>
      </w:r>
      <w:r w:rsidR="00FE4C92" w:rsidRPr="0010207E">
        <w:rPr>
          <w:rFonts w:asciiTheme="majorHAnsi" w:hAnsiTheme="majorHAnsi" w:cstheme="majorHAnsi"/>
          <w:iCs/>
          <w:spacing w:val="2"/>
          <w:sz w:val="28"/>
          <w:szCs w:val="28"/>
        </w:rPr>
        <w:t>hành nghề dạy học</w:t>
      </w:r>
      <w:r w:rsidR="007771E0" w:rsidRPr="0010207E">
        <w:rPr>
          <w:rFonts w:asciiTheme="majorHAnsi" w:hAnsiTheme="majorHAnsi" w:cstheme="majorHAnsi"/>
          <w:iCs/>
          <w:spacing w:val="2"/>
          <w:sz w:val="28"/>
          <w:szCs w:val="28"/>
        </w:rPr>
        <w:t xml:space="preserve"> là thực sự cần thiết, nhằm đáp ứng yêu cầu quản lý nhà nước đối với quy trình cung cấp dịch vụ</w:t>
      </w:r>
      <w:r w:rsidRPr="0010207E">
        <w:rPr>
          <w:rFonts w:asciiTheme="majorHAnsi" w:hAnsiTheme="majorHAnsi" w:cstheme="majorHAnsi"/>
          <w:iCs/>
          <w:spacing w:val="2"/>
          <w:sz w:val="28"/>
          <w:szCs w:val="28"/>
        </w:rPr>
        <w:t xml:space="preserve"> giáo dục và đào tạo</w:t>
      </w:r>
      <w:r w:rsidR="007771E0" w:rsidRPr="0010207E">
        <w:rPr>
          <w:rFonts w:asciiTheme="majorHAnsi" w:hAnsiTheme="majorHAnsi" w:cstheme="majorHAnsi"/>
          <w:iCs/>
          <w:spacing w:val="2"/>
          <w:sz w:val="28"/>
          <w:szCs w:val="28"/>
        </w:rPr>
        <w:t xml:space="preserve">, đảm bảo </w:t>
      </w:r>
      <w:r w:rsidRPr="0010207E">
        <w:rPr>
          <w:rFonts w:asciiTheme="majorHAnsi" w:hAnsiTheme="majorHAnsi" w:cstheme="majorHAnsi"/>
          <w:iCs/>
          <w:spacing w:val="2"/>
          <w:sz w:val="28"/>
          <w:szCs w:val="28"/>
        </w:rPr>
        <w:t>chất lượng của hoạt động giáo dục</w:t>
      </w:r>
      <w:r w:rsidR="007771E0" w:rsidRPr="0010207E">
        <w:rPr>
          <w:rFonts w:asciiTheme="majorHAnsi" w:hAnsiTheme="majorHAnsi" w:cstheme="majorHAnsi"/>
          <w:iCs/>
          <w:spacing w:val="2"/>
          <w:sz w:val="28"/>
          <w:szCs w:val="28"/>
        </w:rPr>
        <w:t xml:space="preserve">; bảo đảm quyền, nghĩa vụ và lợi ích hợp pháp của các </w:t>
      </w:r>
      <w:r w:rsidRPr="0010207E">
        <w:rPr>
          <w:rFonts w:asciiTheme="majorHAnsi" w:hAnsiTheme="majorHAnsi" w:cstheme="majorHAnsi"/>
          <w:iCs/>
          <w:spacing w:val="2"/>
          <w:sz w:val="28"/>
          <w:szCs w:val="28"/>
        </w:rPr>
        <w:t>cá nhân, tổ chức tham gia và hưởng dịch vụ giáo dục</w:t>
      </w:r>
      <w:r w:rsidR="007771E0" w:rsidRPr="0010207E">
        <w:rPr>
          <w:rFonts w:asciiTheme="majorHAnsi" w:hAnsiTheme="majorHAnsi" w:cstheme="majorHAnsi"/>
          <w:iCs/>
          <w:spacing w:val="2"/>
          <w:sz w:val="28"/>
          <w:szCs w:val="28"/>
        </w:rPr>
        <w:t>.</w:t>
      </w:r>
    </w:p>
    <w:p w14:paraId="0E568B20" w14:textId="77777777" w:rsidR="00EE6457" w:rsidRPr="0010207E" w:rsidRDefault="00EE6457" w:rsidP="00EE6457">
      <w:pPr>
        <w:spacing w:before="60" w:after="60" w:line="360" w:lineRule="exact"/>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Bên cạnh đó, việc quy định người có giấy phép hành nghề hoặc các văn bản có giá trị tương đương do cơ quan, tổ chức có thẩm quyền của nước ngoài cấp được công nhận tương đương với giấy phép hành nghề nhà giáo khi được thừa nhận theo điều ước quốc tế mà nước Cộng hòa xã hội chủ nghĩa Việt Nam là thành viên hoặc thỏa thuận quốc tế mà nước Cộng hòa xã hội chủ nghĩa Việt Nam là bên ký kết và còn hiệu lực giúp tạo điều kiện cho cá nhân là công dân Việt Nam hoặc người nước ngoài có các giấy phép hoặc văn bản có giá trị tương đương được hành nghề nhà giáo tại Việt Nam. Qua đó, đảm bảo việc quản lý nhà nước đối với nhà giáo là người nước ngoài đến Việt Nam sinh sống và làm công tác giảng dạy tại các cơ sở giáo dục có vốn nước ngoài hoặc các cơ sở giáo dục có thuê giáo viên người nước ngoài. Đồng thời, khắc phục được tình trạng đội ngũ giáo viên người nước ngoài ở các cơ sở giáo dục có yếu tố nước ngoài đáp ứng tiêu chuẩn theo quy định của Việt Nam. Các nhà trường chủ động xây dựng kế hoạch giáo dục thực hiện chương trình tích hợp đã được phê duyệt.</w:t>
      </w:r>
    </w:p>
    <w:p w14:paraId="75DA018A" w14:textId="255DA88A" w:rsidR="007771E0" w:rsidRPr="0010207E" w:rsidRDefault="004B1992" w:rsidP="00A0000E">
      <w:pPr>
        <w:spacing w:before="80" w:after="100" w:line="264" w:lineRule="auto"/>
        <w:ind w:firstLine="720"/>
        <w:jc w:val="both"/>
        <w:rPr>
          <w:rFonts w:asciiTheme="majorHAnsi" w:hAnsiTheme="majorHAnsi" w:cstheme="majorHAnsi"/>
          <w:b/>
          <w:bCs/>
          <w:i/>
          <w:spacing w:val="2"/>
          <w:sz w:val="28"/>
          <w:szCs w:val="28"/>
        </w:rPr>
      </w:pPr>
      <w:r w:rsidRPr="0010207E">
        <w:rPr>
          <w:rFonts w:asciiTheme="majorHAnsi" w:hAnsiTheme="majorHAnsi" w:cstheme="majorHAnsi"/>
          <w:b/>
          <w:bCs/>
          <w:i/>
          <w:spacing w:val="2"/>
          <w:sz w:val="28"/>
          <w:szCs w:val="28"/>
        </w:rPr>
        <w:t>1.2. Tính hợp lý của TTHC</w:t>
      </w:r>
    </w:p>
    <w:p w14:paraId="7264F025" w14:textId="547120B0" w:rsidR="004B1992" w:rsidRPr="0010207E" w:rsidRDefault="004B1992"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Thủ tục cấp, cấp lại, </w:t>
      </w:r>
      <w:r w:rsidR="00EE6457" w:rsidRPr="0010207E">
        <w:rPr>
          <w:rFonts w:asciiTheme="majorHAnsi" w:hAnsiTheme="majorHAnsi" w:cstheme="majorHAnsi"/>
          <w:iCs/>
          <w:spacing w:val="2"/>
          <w:sz w:val="28"/>
          <w:szCs w:val="28"/>
        </w:rPr>
        <w:t>bổ sung</w:t>
      </w:r>
      <w:r w:rsidRPr="0010207E">
        <w:rPr>
          <w:rFonts w:asciiTheme="majorHAnsi" w:hAnsiTheme="majorHAnsi" w:cstheme="majorHAnsi"/>
          <w:iCs/>
          <w:spacing w:val="2"/>
          <w:sz w:val="28"/>
          <w:szCs w:val="28"/>
        </w:rPr>
        <w:t xml:space="preserve"> thông tin, gia hạn, thu hồi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công nhận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hoặc các văn bản có giá trị tương đương do cơ quan, tổ chức có thẩm quyền của nước ngoài cấp được quy định tại Dự thảo Luật Nhà giáo, với sự tham gia của các cơ quan nhà nước có thẩm quyền trong việc giải quyết TTHC đảm bảo các quy định trong phân cấp quản lý về giáo dục</w:t>
      </w:r>
      <w:r w:rsidR="00266665" w:rsidRPr="0010207E">
        <w:rPr>
          <w:rFonts w:asciiTheme="majorHAnsi" w:hAnsiTheme="majorHAnsi" w:cstheme="majorHAnsi"/>
          <w:iCs/>
          <w:spacing w:val="2"/>
          <w:sz w:val="28"/>
          <w:szCs w:val="28"/>
        </w:rPr>
        <w:t xml:space="preserve"> (</w:t>
      </w:r>
      <w:r w:rsidR="00266665" w:rsidRPr="0010207E">
        <w:rPr>
          <w:rFonts w:asciiTheme="majorHAnsi" w:hAnsiTheme="majorHAnsi" w:cstheme="majorHAnsi"/>
          <w:i/>
          <w:spacing w:val="2"/>
          <w:sz w:val="28"/>
          <w:szCs w:val="28"/>
        </w:rPr>
        <w:t>Điều 22 Dự thảo Luật</w:t>
      </w:r>
      <w:r w:rsidR="00266665" w:rsidRPr="0010207E">
        <w:rPr>
          <w:rFonts w:asciiTheme="majorHAnsi" w:hAnsiTheme="majorHAnsi" w:cstheme="majorHAnsi"/>
          <w:iCs/>
          <w:spacing w:val="2"/>
          <w:sz w:val="28"/>
          <w:szCs w:val="28"/>
        </w:rPr>
        <w:t>)</w:t>
      </w:r>
      <w:r w:rsidRPr="0010207E">
        <w:rPr>
          <w:rFonts w:asciiTheme="majorHAnsi" w:hAnsiTheme="majorHAnsi" w:cstheme="majorHAnsi"/>
          <w:iCs/>
          <w:spacing w:val="2"/>
          <w:sz w:val="28"/>
          <w:szCs w:val="28"/>
        </w:rPr>
        <w:t xml:space="preserve">, bao gồm: </w:t>
      </w:r>
    </w:p>
    <w:p w14:paraId="74C5DF19" w14:textId="6087800A" w:rsidR="004B1992" w:rsidRPr="0010207E" w:rsidRDefault="004B1992"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 </w:t>
      </w:r>
      <w:r w:rsidR="00C17CBB" w:rsidRPr="0010207E">
        <w:rPr>
          <w:rFonts w:asciiTheme="majorHAnsi" w:hAnsiTheme="majorHAnsi" w:cstheme="majorHAnsi"/>
          <w:iCs/>
          <w:spacing w:val="2"/>
          <w:sz w:val="28"/>
          <w:szCs w:val="28"/>
        </w:rPr>
        <w:t xml:space="preserve">Cấp Trung ương: </w:t>
      </w:r>
      <w:r w:rsidRPr="0010207E">
        <w:rPr>
          <w:rFonts w:asciiTheme="majorHAnsi" w:hAnsiTheme="majorHAnsi" w:cstheme="majorHAnsi"/>
          <w:iCs/>
          <w:spacing w:val="2"/>
          <w:sz w:val="28"/>
          <w:szCs w:val="28"/>
        </w:rPr>
        <w:t>Bộ Giáo dục và Đào tạo, Bộ Lao động - Thương binh và Xã hội trong phạm vi nhiệm vụ, quyền hạn của mình cấp</w:t>
      </w:r>
      <w:r w:rsidR="00DE602C" w:rsidRPr="0010207E">
        <w:rPr>
          <w:rFonts w:asciiTheme="majorHAnsi" w:hAnsiTheme="majorHAnsi" w:cstheme="majorHAnsi"/>
          <w:iCs/>
          <w:spacing w:val="2"/>
          <w:sz w:val="28"/>
          <w:szCs w:val="28"/>
        </w:rPr>
        <w:t>, cấp lại, gia hạn, thay đổi thông tin</w:t>
      </w:r>
      <w:r w:rsidRPr="0010207E">
        <w:rPr>
          <w:rFonts w:asciiTheme="majorHAnsi" w:hAnsiTheme="majorHAnsi" w:cstheme="majorHAnsi"/>
          <w:iCs/>
          <w:spacing w:val="2"/>
          <w:sz w:val="28"/>
          <w:szCs w:val="28"/>
        </w:rPr>
        <w:t xml:space="preserve">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đối với giảng viên, giáo viên dự bị đại học theo thẩm quyền quản lý.</w:t>
      </w:r>
    </w:p>
    <w:p w14:paraId="660CBE16" w14:textId="2DC4875E" w:rsidR="004B1992" w:rsidRPr="0010207E" w:rsidRDefault="004B1992"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 </w:t>
      </w:r>
      <w:r w:rsidR="00C17CBB" w:rsidRPr="0010207E">
        <w:rPr>
          <w:rFonts w:asciiTheme="majorHAnsi" w:hAnsiTheme="majorHAnsi" w:cstheme="majorHAnsi"/>
          <w:iCs/>
          <w:spacing w:val="2"/>
          <w:sz w:val="28"/>
          <w:szCs w:val="28"/>
        </w:rPr>
        <w:t xml:space="preserve">Cấp tỉnh: </w:t>
      </w:r>
      <w:r w:rsidRPr="0010207E">
        <w:rPr>
          <w:rFonts w:asciiTheme="majorHAnsi" w:hAnsiTheme="majorHAnsi" w:cstheme="majorHAnsi"/>
          <w:iCs/>
          <w:spacing w:val="2"/>
          <w:sz w:val="28"/>
          <w:szCs w:val="28"/>
        </w:rPr>
        <w:t xml:space="preserve">Sở Giáo dục và Đào tạo, </w:t>
      </w:r>
      <w:r w:rsidR="00C17CBB" w:rsidRPr="0010207E">
        <w:rPr>
          <w:rFonts w:asciiTheme="majorHAnsi" w:hAnsiTheme="majorHAnsi" w:cstheme="majorHAnsi"/>
          <w:iCs/>
          <w:spacing w:val="2"/>
          <w:sz w:val="28"/>
          <w:szCs w:val="28"/>
        </w:rPr>
        <w:t xml:space="preserve">Sở Lao động - Thương binh và Xã hội </w:t>
      </w:r>
      <w:r w:rsidRPr="0010207E">
        <w:rPr>
          <w:rFonts w:asciiTheme="majorHAnsi" w:hAnsiTheme="majorHAnsi" w:cstheme="majorHAnsi"/>
          <w:iCs/>
          <w:spacing w:val="2"/>
          <w:sz w:val="28"/>
          <w:szCs w:val="28"/>
        </w:rPr>
        <w:t>cấp</w:t>
      </w:r>
      <w:r w:rsidR="00537556" w:rsidRPr="0010207E">
        <w:rPr>
          <w:rFonts w:asciiTheme="majorHAnsi" w:hAnsiTheme="majorHAnsi" w:cstheme="majorHAnsi"/>
          <w:iCs/>
          <w:spacing w:val="2"/>
          <w:sz w:val="28"/>
          <w:szCs w:val="28"/>
        </w:rPr>
        <w:t>,cấp lại, gia hạn, thay đổi thông tin</w:t>
      </w:r>
      <w:r w:rsidRPr="0010207E">
        <w:rPr>
          <w:rFonts w:asciiTheme="majorHAnsi" w:hAnsiTheme="majorHAnsi" w:cstheme="majorHAnsi"/>
          <w:iCs/>
          <w:spacing w:val="2"/>
          <w:sz w:val="28"/>
          <w:szCs w:val="28"/>
        </w:rPr>
        <w:t xml:space="preserve">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đối với nhà giáo của các cơ sở giáo dục theo thẩm quyền quản lý. </w:t>
      </w:r>
    </w:p>
    <w:p w14:paraId="11E54383" w14:textId="0C5ED957" w:rsidR="004B1992" w:rsidRPr="0010207E" w:rsidRDefault="004B1992"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lastRenderedPageBreak/>
        <w:t xml:space="preserve">- </w:t>
      </w:r>
      <w:r w:rsidR="00C17CBB" w:rsidRPr="0010207E">
        <w:rPr>
          <w:rFonts w:asciiTheme="majorHAnsi" w:hAnsiTheme="majorHAnsi" w:cstheme="majorHAnsi"/>
          <w:iCs/>
          <w:spacing w:val="2"/>
          <w:sz w:val="28"/>
          <w:szCs w:val="28"/>
        </w:rPr>
        <w:t xml:space="preserve">Cấp huyện: </w:t>
      </w:r>
      <w:r w:rsidR="00DE602C" w:rsidRPr="0010207E">
        <w:rPr>
          <w:rFonts w:asciiTheme="majorHAnsi" w:hAnsiTheme="majorHAnsi" w:cstheme="majorHAnsi"/>
          <w:iCs/>
          <w:spacing w:val="2"/>
          <w:sz w:val="28"/>
          <w:szCs w:val="28"/>
        </w:rPr>
        <w:t xml:space="preserve">Phòng Giáo dục và Đào tạo, </w:t>
      </w:r>
      <w:r w:rsidR="00C17CBB" w:rsidRPr="0010207E">
        <w:rPr>
          <w:rFonts w:asciiTheme="majorHAnsi" w:hAnsiTheme="majorHAnsi" w:cstheme="majorHAnsi"/>
          <w:iCs/>
          <w:spacing w:val="2"/>
          <w:sz w:val="28"/>
          <w:szCs w:val="28"/>
        </w:rPr>
        <w:t>Phòng</w:t>
      </w:r>
      <w:r w:rsidRPr="0010207E">
        <w:rPr>
          <w:rFonts w:asciiTheme="majorHAnsi" w:hAnsiTheme="majorHAnsi" w:cstheme="majorHAnsi"/>
          <w:iCs/>
          <w:spacing w:val="2"/>
          <w:sz w:val="28"/>
          <w:szCs w:val="28"/>
        </w:rPr>
        <w:t xml:space="preserve"> Lao động - Thương binh và Xã hội</w:t>
      </w:r>
      <w:r w:rsidR="00DE602C" w:rsidRPr="0010207E">
        <w:rPr>
          <w:rFonts w:asciiTheme="majorHAnsi" w:hAnsiTheme="majorHAnsi" w:cstheme="majorHAnsi"/>
          <w:iCs/>
          <w:spacing w:val="2"/>
          <w:sz w:val="28"/>
          <w:szCs w:val="28"/>
        </w:rPr>
        <w:t xml:space="preserve"> cấp</w:t>
      </w:r>
      <w:r w:rsidR="00537556" w:rsidRPr="0010207E">
        <w:rPr>
          <w:rFonts w:asciiTheme="majorHAnsi" w:hAnsiTheme="majorHAnsi" w:cstheme="majorHAnsi"/>
          <w:iCs/>
          <w:spacing w:val="2"/>
          <w:sz w:val="28"/>
          <w:szCs w:val="28"/>
        </w:rPr>
        <w:t>, cấp lại, gia hạn, thay đổi thông tin</w:t>
      </w:r>
      <w:r w:rsidRPr="0010207E">
        <w:rPr>
          <w:rFonts w:asciiTheme="majorHAnsi" w:hAnsiTheme="majorHAnsi" w:cstheme="majorHAnsi"/>
          <w:iCs/>
          <w:spacing w:val="2"/>
          <w:sz w:val="28"/>
          <w:szCs w:val="28"/>
        </w:rPr>
        <w:t xml:space="preserve"> giấy phép </w:t>
      </w:r>
      <w:r w:rsidR="00FE4C92" w:rsidRPr="0010207E">
        <w:rPr>
          <w:rFonts w:asciiTheme="majorHAnsi" w:hAnsiTheme="majorHAnsi" w:cstheme="majorHAnsi"/>
          <w:iCs/>
          <w:spacing w:val="2"/>
          <w:sz w:val="28"/>
          <w:szCs w:val="28"/>
        </w:rPr>
        <w:t>hành nghề dạy học</w:t>
      </w:r>
      <w:r w:rsidRPr="0010207E">
        <w:rPr>
          <w:rFonts w:asciiTheme="majorHAnsi" w:hAnsiTheme="majorHAnsi" w:cstheme="majorHAnsi"/>
          <w:iCs/>
          <w:spacing w:val="2"/>
          <w:sz w:val="28"/>
          <w:szCs w:val="28"/>
        </w:rPr>
        <w:t xml:space="preserve"> đối với nhà giáo của các cơ sở giáo dục theo thẩm quyền quản lý.</w:t>
      </w:r>
    </w:p>
    <w:p w14:paraId="71DADFBA" w14:textId="693A8677" w:rsidR="004B1992" w:rsidRPr="0010207E" w:rsidRDefault="004B1992"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Trong đó, Bộ Giáo dục và Đào tạo là cơ quan quản lý thống nhất Giấy phép </w:t>
      </w:r>
      <w:r w:rsidR="00FE4C92" w:rsidRPr="0010207E">
        <w:rPr>
          <w:rFonts w:asciiTheme="majorHAnsi" w:hAnsiTheme="majorHAnsi" w:cstheme="majorHAnsi"/>
          <w:iCs/>
          <w:spacing w:val="-2"/>
          <w:sz w:val="28"/>
          <w:szCs w:val="28"/>
        </w:rPr>
        <w:t>hành nghề dạy học</w:t>
      </w:r>
      <w:r w:rsidR="00932893" w:rsidRPr="0010207E">
        <w:rPr>
          <w:rFonts w:asciiTheme="majorHAnsi" w:hAnsiTheme="majorHAnsi" w:cstheme="majorHAnsi"/>
          <w:iCs/>
          <w:spacing w:val="-2"/>
          <w:sz w:val="28"/>
          <w:szCs w:val="28"/>
        </w:rPr>
        <w:t xml:space="preserve">. Giấy phép </w:t>
      </w:r>
      <w:r w:rsidR="00FE4C92" w:rsidRPr="0010207E">
        <w:rPr>
          <w:rFonts w:asciiTheme="majorHAnsi" w:hAnsiTheme="majorHAnsi" w:cstheme="majorHAnsi"/>
          <w:iCs/>
          <w:spacing w:val="-2"/>
          <w:sz w:val="28"/>
          <w:szCs w:val="28"/>
        </w:rPr>
        <w:t>hành nghề dạy học</w:t>
      </w:r>
      <w:r w:rsidR="00932893" w:rsidRPr="0010207E">
        <w:rPr>
          <w:rFonts w:asciiTheme="majorHAnsi" w:hAnsiTheme="majorHAnsi" w:cstheme="majorHAnsi"/>
          <w:iCs/>
          <w:spacing w:val="-2"/>
          <w:sz w:val="28"/>
          <w:szCs w:val="28"/>
        </w:rPr>
        <w:t xml:space="preserve"> có giá trị </w:t>
      </w:r>
      <w:r w:rsidR="00537556" w:rsidRPr="0010207E">
        <w:rPr>
          <w:rFonts w:asciiTheme="majorHAnsi" w:hAnsiTheme="majorHAnsi" w:cstheme="majorHAnsi"/>
          <w:iCs/>
          <w:spacing w:val="-2"/>
          <w:sz w:val="28"/>
          <w:szCs w:val="28"/>
        </w:rPr>
        <w:t>sử dụng trong toàn lãnh thổ Việt Nam và có giáo trị sử dụng tại quốc gia khác theo chương trình hợp tác quốc tế với Việt Nam</w:t>
      </w:r>
      <w:r w:rsidR="00266665" w:rsidRPr="0010207E">
        <w:rPr>
          <w:rFonts w:asciiTheme="majorHAnsi" w:hAnsiTheme="majorHAnsi" w:cstheme="majorHAnsi"/>
          <w:iCs/>
          <w:spacing w:val="-2"/>
          <w:sz w:val="28"/>
          <w:szCs w:val="28"/>
        </w:rPr>
        <w:t xml:space="preserve"> (</w:t>
      </w:r>
      <w:r w:rsidR="00266665" w:rsidRPr="0010207E">
        <w:rPr>
          <w:rFonts w:asciiTheme="majorHAnsi" w:hAnsiTheme="majorHAnsi" w:cstheme="majorHAnsi"/>
          <w:i/>
          <w:spacing w:val="-2"/>
          <w:sz w:val="28"/>
          <w:szCs w:val="28"/>
        </w:rPr>
        <w:t>Điều 19 Dự thảo Luật</w:t>
      </w:r>
      <w:r w:rsidR="00266665" w:rsidRPr="0010207E">
        <w:rPr>
          <w:rFonts w:asciiTheme="majorHAnsi" w:hAnsiTheme="majorHAnsi" w:cstheme="majorHAnsi"/>
          <w:iCs/>
          <w:spacing w:val="-2"/>
          <w:sz w:val="28"/>
          <w:szCs w:val="28"/>
        </w:rPr>
        <w:t>)</w:t>
      </w:r>
      <w:r w:rsidR="00932893" w:rsidRPr="0010207E">
        <w:rPr>
          <w:rFonts w:asciiTheme="majorHAnsi" w:hAnsiTheme="majorHAnsi" w:cstheme="majorHAnsi"/>
          <w:iCs/>
          <w:spacing w:val="-2"/>
          <w:sz w:val="28"/>
          <w:szCs w:val="28"/>
        </w:rPr>
        <w:t xml:space="preserve">. </w:t>
      </w:r>
      <w:r w:rsidR="00CE3900" w:rsidRPr="0010207E">
        <w:rPr>
          <w:rFonts w:asciiTheme="majorHAnsi" w:hAnsiTheme="majorHAnsi" w:cstheme="majorHAnsi"/>
          <w:iCs/>
          <w:spacing w:val="-2"/>
          <w:sz w:val="28"/>
          <w:szCs w:val="28"/>
        </w:rPr>
        <w:t>Giấy phép hành nghề dạy học là điều kiện để tham gia tuyển dụng nhà giáo trong cơ sở giáo dục hoặc trở thành nhà giáo thỉnh giảng hoặc hành nghề dạy học tự do; là căn cứ để cơ quan có thẩm quyền thực hiện bổ nhiệm, điều động, biệt phái, thuyên chuyển nhà giáo đảm bảo cơ cấu và số lượng phù hợp</w:t>
      </w:r>
      <w:r w:rsidR="00266665" w:rsidRPr="0010207E">
        <w:rPr>
          <w:rFonts w:asciiTheme="majorHAnsi" w:hAnsiTheme="majorHAnsi" w:cstheme="majorHAnsi"/>
          <w:iCs/>
          <w:spacing w:val="-2"/>
          <w:sz w:val="28"/>
          <w:szCs w:val="28"/>
        </w:rPr>
        <w:t xml:space="preserve"> (</w:t>
      </w:r>
      <w:r w:rsidR="00266665" w:rsidRPr="0010207E">
        <w:rPr>
          <w:rFonts w:asciiTheme="majorHAnsi" w:hAnsiTheme="majorHAnsi" w:cstheme="majorHAnsi"/>
          <w:i/>
          <w:spacing w:val="-2"/>
          <w:sz w:val="28"/>
          <w:szCs w:val="28"/>
        </w:rPr>
        <w:t>Điều 17 Dự thảo Luật</w:t>
      </w:r>
      <w:r w:rsidR="00266665" w:rsidRPr="0010207E">
        <w:rPr>
          <w:rFonts w:asciiTheme="majorHAnsi" w:hAnsiTheme="majorHAnsi" w:cstheme="majorHAnsi"/>
          <w:iCs/>
          <w:spacing w:val="-2"/>
          <w:sz w:val="28"/>
          <w:szCs w:val="28"/>
        </w:rPr>
        <w:t>)</w:t>
      </w:r>
      <w:r w:rsidR="00CE3900" w:rsidRPr="0010207E">
        <w:rPr>
          <w:rFonts w:asciiTheme="majorHAnsi" w:hAnsiTheme="majorHAnsi" w:cstheme="majorHAnsi"/>
          <w:iCs/>
          <w:spacing w:val="-2"/>
          <w:sz w:val="28"/>
          <w:szCs w:val="28"/>
        </w:rPr>
        <w:t>.</w:t>
      </w:r>
      <w:r w:rsidR="00CE3900" w:rsidRPr="0010207E">
        <w:rPr>
          <w:rFonts w:asciiTheme="majorHAnsi" w:eastAsia="Calibri" w:hAnsiTheme="majorHAnsi" w:cstheme="majorHAnsi"/>
          <w:spacing w:val="-2"/>
        </w:rPr>
        <w:t xml:space="preserve"> </w:t>
      </w:r>
      <w:r w:rsidR="00CE3900" w:rsidRPr="0010207E">
        <w:rPr>
          <w:rFonts w:asciiTheme="majorHAnsi" w:eastAsia="Calibri" w:hAnsiTheme="majorHAnsi" w:cstheme="majorHAnsi"/>
          <w:spacing w:val="-2"/>
          <w:sz w:val="28"/>
          <w:szCs w:val="28"/>
        </w:rPr>
        <w:t>Do đó, n</w:t>
      </w:r>
      <w:r w:rsidR="00932893" w:rsidRPr="0010207E">
        <w:rPr>
          <w:rFonts w:asciiTheme="majorHAnsi" w:hAnsiTheme="majorHAnsi" w:cstheme="majorHAnsi"/>
          <w:iCs/>
          <w:spacing w:val="-2"/>
          <w:sz w:val="28"/>
          <w:szCs w:val="28"/>
        </w:rPr>
        <w:t xml:space="preserve">hà giáo đã được cấp giấy phép hành nghề khi trúng tuyển vào làm nhà giáo tại cơ sở giáo dục công lập hoặc khi thuyên chuyển và ký hợp đồng tại cơ sở giáo dục khác không cần phải thực hiện chế độ tập sự. Khi có giấy phép hành nghề,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 </w:t>
      </w:r>
      <w:r w:rsidR="00CE3900" w:rsidRPr="0010207E">
        <w:rPr>
          <w:rFonts w:asciiTheme="majorHAnsi" w:hAnsiTheme="majorHAnsi" w:cstheme="majorHAnsi"/>
          <w:iCs/>
          <w:spacing w:val="-2"/>
          <w:sz w:val="28"/>
          <w:szCs w:val="28"/>
        </w:rPr>
        <w:t>Quy định này</w:t>
      </w:r>
      <w:r w:rsidR="00932893" w:rsidRPr="0010207E">
        <w:rPr>
          <w:rFonts w:asciiTheme="majorHAnsi" w:hAnsiTheme="majorHAnsi" w:cstheme="majorHAnsi"/>
          <w:iCs/>
          <w:spacing w:val="-2"/>
          <w:sz w:val="28"/>
          <w:szCs w:val="28"/>
        </w:rPr>
        <w:t xml:space="preserve">, giúp </w:t>
      </w:r>
      <w:r w:rsidRPr="0010207E">
        <w:rPr>
          <w:rFonts w:asciiTheme="majorHAnsi" w:hAnsiTheme="majorHAnsi" w:cstheme="majorHAnsi"/>
          <w:iCs/>
          <w:spacing w:val="-2"/>
          <w:sz w:val="28"/>
          <w:szCs w:val="28"/>
        </w:rPr>
        <w:t xml:space="preserve">giảm TTHC trung gian cấp giấy phép, tạo điều kiện thuận lợi cho cá nhân trong việc cấp lại hoặc đề nghị bổ sung thông tin khi có sự thay đổi </w:t>
      </w:r>
      <w:r w:rsidR="00E43077" w:rsidRPr="0010207E">
        <w:rPr>
          <w:rFonts w:asciiTheme="majorHAnsi" w:hAnsiTheme="majorHAnsi" w:cstheme="majorHAnsi"/>
          <w:iCs/>
          <w:spacing w:val="-2"/>
          <w:sz w:val="28"/>
          <w:szCs w:val="28"/>
        </w:rPr>
        <w:t xml:space="preserve">về chức danh nhà giáo; bảo đảm công bằng, minh bạch trong công tác cấp, cấp lại giấy phép đủ điều kiện </w:t>
      </w:r>
      <w:r w:rsidR="00FE4C92" w:rsidRPr="0010207E">
        <w:rPr>
          <w:rFonts w:asciiTheme="majorHAnsi" w:hAnsiTheme="majorHAnsi" w:cstheme="majorHAnsi"/>
          <w:iCs/>
          <w:spacing w:val="-2"/>
          <w:sz w:val="28"/>
          <w:szCs w:val="28"/>
        </w:rPr>
        <w:t>hành nghề dạy học</w:t>
      </w:r>
      <w:r w:rsidR="00E43077" w:rsidRPr="0010207E">
        <w:rPr>
          <w:rFonts w:asciiTheme="majorHAnsi" w:hAnsiTheme="majorHAnsi" w:cstheme="majorHAnsi"/>
          <w:iCs/>
          <w:spacing w:val="-2"/>
          <w:sz w:val="28"/>
          <w:szCs w:val="28"/>
        </w:rPr>
        <w:t>; đồng thời tiết kiệm thời gian và chi phí của các cá nhân, cơ quan, tổ chức.</w:t>
      </w:r>
    </w:p>
    <w:p w14:paraId="05458250" w14:textId="285F1B66" w:rsidR="00EE6457" w:rsidRPr="0010207E" w:rsidRDefault="00EE6457"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Khoản 3 Điều 20; khoản 3 Điều 21; khoản 5 Điều 22 Dự thảo Luật giao Chính phủ quy định chi tiết các nội dung liên quan đến cấp, cấp lại, thu hồi, gia hạn giấy phép hành nghề dạy học và việc công nhận tương đương giấy phép hành nghề dạy học.</w:t>
      </w:r>
    </w:p>
    <w:p w14:paraId="277A9026" w14:textId="6EDCB961" w:rsidR="00E43077" w:rsidRPr="0010207E" w:rsidRDefault="00E43077" w:rsidP="00A0000E">
      <w:pPr>
        <w:spacing w:before="80" w:after="100" w:line="264" w:lineRule="auto"/>
        <w:ind w:firstLine="720"/>
        <w:jc w:val="both"/>
        <w:rPr>
          <w:rFonts w:asciiTheme="majorHAnsi" w:hAnsiTheme="majorHAnsi" w:cstheme="majorHAnsi"/>
          <w:b/>
          <w:bCs/>
          <w:i/>
          <w:spacing w:val="2"/>
          <w:sz w:val="28"/>
          <w:szCs w:val="28"/>
        </w:rPr>
      </w:pPr>
      <w:r w:rsidRPr="0010207E">
        <w:rPr>
          <w:rFonts w:asciiTheme="majorHAnsi" w:hAnsiTheme="majorHAnsi" w:cstheme="majorHAnsi"/>
          <w:b/>
          <w:bCs/>
          <w:i/>
          <w:spacing w:val="2"/>
          <w:sz w:val="28"/>
          <w:szCs w:val="28"/>
        </w:rPr>
        <w:t>1.3. Tính hợp pháp của TTHC</w:t>
      </w:r>
    </w:p>
    <w:p w14:paraId="5980E878" w14:textId="3C2D9220" w:rsidR="00E43077" w:rsidRPr="0010207E" w:rsidRDefault="00E43077"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Các TTHC được quy định mới trong Dự thảo Luật Nhà giáo phù hợp với thẩm quyền của cơ quan quản lý các cấp về giáo dục theo quy định của Quốc hội, Chính phủ</w:t>
      </w:r>
      <w:r w:rsidR="00CE3900" w:rsidRPr="0010207E">
        <w:rPr>
          <w:rFonts w:asciiTheme="majorHAnsi" w:hAnsiTheme="majorHAnsi" w:cstheme="majorHAnsi"/>
          <w:iCs/>
          <w:spacing w:val="2"/>
          <w:sz w:val="28"/>
          <w:szCs w:val="28"/>
        </w:rPr>
        <w:t>, đảm bảo tính thống nhất, đồng bộ của hệ thống pháp luật. Đồng thời, không trái với các điều ước quốc tế có liên quan mà Cộng hòa xã hội chủ nghĩa Việt Nam là thành viên.</w:t>
      </w:r>
    </w:p>
    <w:p w14:paraId="51354683" w14:textId="1F1BD571" w:rsidR="00C41463" w:rsidRPr="0010207E" w:rsidRDefault="00C41463" w:rsidP="00A0000E">
      <w:pPr>
        <w:spacing w:before="80" w:after="100" w:line="264" w:lineRule="auto"/>
        <w:ind w:firstLine="720"/>
        <w:jc w:val="both"/>
        <w:rPr>
          <w:rFonts w:asciiTheme="majorHAnsi" w:hAnsiTheme="majorHAnsi" w:cstheme="majorHAnsi"/>
          <w:b/>
          <w:i/>
          <w:iCs/>
          <w:sz w:val="28"/>
          <w:szCs w:val="28"/>
        </w:rPr>
      </w:pPr>
      <w:r w:rsidRPr="0010207E">
        <w:rPr>
          <w:rFonts w:asciiTheme="majorHAnsi" w:hAnsiTheme="majorHAnsi" w:cstheme="majorHAnsi"/>
          <w:b/>
          <w:i/>
          <w:iCs/>
          <w:sz w:val="28"/>
          <w:szCs w:val="28"/>
        </w:rPr>
        <w:t>1.4. Tính toán chi phí tuân thủ TTHC</w:t>
      </w:r>
    </w:p>
    <w:p w14:paraId="0867DB12" w14:textId="77777777" w:rsidR="00D456F2" w:rsidRPr="0010207E" w:rsidRDefault="00537556" w:rsidP="00A0000E">
      <w:pPr>
        <w:spacing w:before="80" w:after="100" w:line="264" w:lineRule="auto"/>
        <w:ind w:firstLine="720"/>
        <w:jc w:val="both"/>
        <w:rPr>
          <w:sz w:val="28"/>
          <w:szCs w:val="28"/>
        </w:rPr>
      </w:pPr>
      <w:r w:rsidRPr="0010207E">
        <w:rPr>
          <w:rFonts w:asciiTheme="majorHAnsi" w:hAnsiTheme="majorHAnsi" w:cstheme="majorHAnsi"/>
          <w:iCs/>
          <w:sz w:val="28"/>
          <w:szCs w:val="28"/>
        </w:rPr>
        <w:t xml:space="preserve">Bộ Giáo dục và Đào tạo đã </w:t>
      </w:r>
      <w:r w:rsidR="00D456F2" w:rsidRPr="0010207E">
        <w:rPr>
          <w:rFonts w:asciiTheme="majorHAnsi" w:hAnsiTheme="majorHAnsi" w:cstheme="majorHAnsi"/>
          <w:iCs/>
          <w:sz w:val="28"/>
          <w:szCs w:val="28"/>
        </w:rPr>
        <w:t>đã tiến hành</w:t>
      </w:r>
      <w:r w:rsidRPr="0010207E">
        <w:rPr>
          <w:rFonts w:asciiTheme="majorHAnsi" w:hAnsiTheme="majorHAnsi" w:cstheme="majorHAnsi"/>
          <w:iCs/>
          <w:sz w:val="28"/>
          <w:szCs w:val="28"/>
        </w:rPr>
        <w:t xml:space="preserve"> lượng hóa các chi phí mà cá nhân, tổ chức phải bỏ ra khi thực hiện TTHC dự kiến ban hành, </w:t>
      </w:r>
      <w:r w:rsidR="00D456F2" w:rsidRPr="0010207E">
        <w:rPr>
          <w:rFonts w:asciiTheme="majorHAnsi" w:hAnsiTheme="majorHAnsi" w:cstheme="majorHAnsi"/>
          <w:iCs/>
          <w:sz w:val="28"/>
          <w:szCs w:val="28"/>
        </w:rPr>
        <w:t xml:space="preserve">và thực hiện việc tính toán chi phí tuân thủ TTHC </w:t>
      </w:r>
      <w:r w:rsidR="00D456F2" w:rsidRPr="0010207E">
        <w:rPr>
          <w:sz w:val="28"/>
          <w:szCs w:val="28"/>
          <w:lang w:val="vi-VN"/>
        </w:rPr>
        <w:t xml:space="preserve">theo biểu mẫu hướng dẫn tại Thông tư số </w:t>
      </w:r>
      <w:r w:rsidR="00D456F2" w:rsidRPr="0010207E">
        <w:rPr>
          <w:sz w:val="28"/>
          <w:szCs w:val="28"/>
        </w:rPr>
        <w:t>03/2022</w:t>
      </w:r>
      <w:r w:rsidR="00D456F2" w:rsidRPr="0010207E">
        <w:rPr>
          <w:sz w:val="28"/>
          <w:szCs w:val="28"/>
          <w:lang w:val="vi-VN"/>
        </w:rPr>
        <w:t xml:space="preserve">/TT-BTP ngày </w:t>
      </w:r>
      <w:r w:rsidR="00D456F2" w:rsidRPr="0010207E">
        <w:rPr>
          <w:sz w:val="28"/>
          <w:szCs w:val="28"/>
        </w:rPr>
        <w:t>10</w:t>
      </w:r>
      <w:r w:rsidR="00D456F2" w:rsidRPr="0010207E">
        <w:rPr>
          <w:sz w:val="28"/>
          <w:szCs w:val="28"/>
          <w:lang w:val="vi-VN"/>
        </w:rPr>
        <w:t>/02/20</w:t>
      </w:r>
      <w:r w:rsidR="00D456F2" w:rsidRPr="0010207E">
        <w:rPr>
          <w:sz w:val="28"/>
          <w:szCs w:val="28"/>
        </w:rPr>
        <w:t>22</w:t>
      </w:r>
      <w:r w:rsidR="00D456F2" w:rsidRPr="0010207E">
        <w:rPr>
          <w:sz w:val="28"/>
          <w:szCs w:val="28"/>
          <w:lang w:val="vi-VN"/>
        </w:rPr>
        <w:t xml:space="preserve"> của Bộ</w:t>
      </w:r>
      <w:r w:rsidR="00D456F2" w:rsidRPr="0010207E">
        <w:rPr>
          <w:sz w:val="28"/>
          <w:szCs w:val="28"/>
        </w:rPr>
        <w:t xml:space="preserve"> trưởng Bộ</w:t>
      </w:r>
      <w:r w:rsidR="00D456F2" w:rsidRPr="0010207E">
        <w:rPr>
          <w:sz w:val="28"/>
          <w:szCs w:val="28"/>
          <w:lang w:val="vi-VN"/>
        </w:rPr>
        <w:t xml:space="preserve"> Tư pháp </w:t>
      </w:r>
      <w:r w:rsidR="00D456F2" w:rsidRPr="0010207E">
        <w:rPr>
          <w:iCs/>
          <w:sz w:val="28"/>
          <w:szCs w:val="28"/>
          <w:lang w:val="vi-VN"/>
        </w:rPr>
        <w:t>hướng dẫn việc đ</w:t>
      </w:r>
      <w:r w:rsidR="00D456F2" w:rsidRPr="0010207E">
        <w:rPr>
          <w:iCs/>
          <w:sz w:val="28"/>
          <w:szCs w:val="28"/>
        </w:rPr>
        <w:t>á</w:t>
      </w:r>
      <w:r w:rsidR="00D456F2" w:rsidRPr="0010207E">
        <w:rPr>
          <w:iCs/>
          <w:sz w:val="28"/>
          <w:szCs w:val="28"/>
          <w:lang w:val="vi-VN"/>
        </w:rPr>
        <w:t>nh giá tác động của thủ tục hành chính</w:t>
      </w:r>
      <w:r w:rsidR="00D456F2" w:rsidRPr="0010207E">
        <w:rPr>
          <w:iCs/>
          <w:sz w:val="28"/>
          <w:szCs w:val="28"/>
        </w:rPr>
        <w:t xml:space="preserve"> trong lập đề nghị xây dựng văn bản quy phạm pháp luật và soạn thảo dự án, dự thảo văn bản quy phạm pháp luật</w:t>
      </w:r>
      <w:r w:rsidR="00D456F2" w:rsidRPr="0010207E">
        <w:rPr>
          <w:sz w:val="28"/>
          <w:szCs w:val="28"/>
          <w:lang w:val="vi-VN"/>
        </w:rPr>
        <w:t>. Việc tính toán chi phí tuân thủ TTHC được thực hiện căn cứ theo các chỉ tiêu cụ thể sau:</w:t>
      </w:r>
    </w:p>
    <w:p w14:paraId="62852EF8" w14:textId="77777777" w:rsidR="00D456F2" w:rsidRPr="0010207E" w:rsidRDefault="00D456F2" w:rsidP="00A0000E">
      <w:pPr>
        <w:spacing w:before="80" w:after="100" w:line="264" w:lineRule="auto"/>
        <w:ind w:firstLine="720"/>
        <w:jc w:val="both"/>
        <w:rPr>
          <w:iCs/>
          <w:sz w:val="28"/>
          <w:szCs w:val="28"/>
        </w:rPr>
      </w:pPr>
      <w:r w:rsidRPr="0010207E">
        <w:rPr>
          <w:sz w:val="28"/>
          <w:szCs w:val="28"/>
          <w:lang w:val="vi-VN"/>
        </w:rPr>
        <w:t xml:space="preserve">- Mức thu nhập bình quân/1 giờ làm việc được tính </w:t>
      </w:r>
      <w:r w:rsidRPr="0010207E">
        <w:rPr>
          <w:iCs/>
          <w:sz w:val="28"/>
          <w:szCs w:val="28"/>
        </w:rPr>
        <w:t xml:space="preserve">theo Quy mô GDP theo giá hiện hành được Tổng Cục Thống kê công bối tháng 12 năm 2023 ước đạt 10.221,8 </w:t>
      </w:r>
      <w:r w:rsidRPr="0010207E">
        <w:rPr>
          <w:iCs/>
          <w:sz w:val="28"/>
          <w:szCs w:val="28"/>
        </w:rPr>
        <w:lastRenderedPageBreak/>
        <w:t xml:space="preserve">nghìn tỷ đồng, tương đương 430 tỷ USD. GDP bình quân đầu người năm 2023 theo giá hiện hành ước đạt 101,9 triệu đồng/người, tương đương mức thu nhập bình quân 01 người/01 giờ làm việc: </w:t>
      </w:r>
      <w:r w:rsidRPr="0010207E">
        <w:rPr>
          <w:b/>
          <w:i/>
          <w:iCs/>
          <w:sz w:val="28"/>
          <w:szCs w:val="28"/>
        </w:rPr>
        <w:t>48.248 đồng/người/giờ</w:t>
      </w:r>
      <w:r w:rsidRPr="0010207E">
        <w:rPr>
          <w:iCs/>
          <w:sz w:val="28"/>
          <w:szCs w:val="28"/>
        </w:rPr>
        <w:t>.</w:t>
      </w:r>
    </w:p>
    <w:p w14:paraId="2BD62A0D" w14:textId="6045033F" w:rsidR="00D456F2" w:rsidRPr="0010207E" w:rsidRDefault="00D456F2" w:rsidP="00A0000E">
      <w:pPr>
        <w:spacing w:before="80" w:after="100" w:line="264" w:lineRule="auto"/>
        <w:ind w:firstLine="720"/>
        <w:jc w:val="both"/>
        <w:rPr>
          <w:sz w:val="28"/>
          <w:szCs w:val="28"/>
        </w:rPr>
      </w:pPr>
      <w:r w:rsidRPr="0010207E">
        <w:rPr>
          <w:sz w:val="28"/>
          <w:szCs w:val="28"/>
          <w:lang w:val="vi-VN"/>
        </w:rPr>
        <w:t xml:space="preserve">- Số lượng đối tượng tuân thủ TTHC/năm được dự kiến trên cơ sở thực tế và dự kiến số nhà giáo xin cấp/cấp lại/gia hạn/sửa đổi thông tin giấy phép hành nghề dạy học những năm tiếp theo. Tính đến hết năm học 2022 - 2023, theo thống kê của Bộ Giáo dục và Đào tạo, </w:t>
      </w:r>
      <w:r w:rsidR="0026017F" w:rsidRPr="0010207E">
        <w:rPr>
          <w:sz w:val="28"/>
          <w:szCs w:val="28"/>
        </w:rPr>
        <w:t>có khoảng 1,4 triệu</w:t>
      </w:r>
      <w:r w:rsidR="0026017F" w:rsidRPr="0010207E">
        <w:rPr>
          <w:sz w:val="28"/>
          <w:szCs w:val="28"/>
          <w:lang w:val="vi-VN"/>
        </w:rPr>
        <w:t xml:space="preserve"> </w:t>
      </w:r>
      <w:r w:rsidRPr="0010207E">
        <w:rPr>
          <w:sz w:val="28"/>
          <w:szCs w:val="28"/>
          <w:lang w:val="vi-VN"/>
        </w:rPr>
        <w:t>giáo viê</w:t>
      </w:r>
      <w:r w:rsidR="0026017F" w:rsidRPr="0010207E">
        <w:rPr>
          <w:sz w:val="28"/>
          <w:szCs w:val="28"/>
        </w:rPr>
        <w:t>n, giảng viên cả nước</w:t>
      </w:r>
      <w:r w:rsidRPr="0010207E">
        <w:rPr>
          <w:sz w:val="28"/>
          <w:szCs w:val="28"/>
          <w:lang w:val="vi-VN"/>
        </w:rPr>
        <w:t>.</w:t>
      </w:r>
      <w:r w:rsidR="00BB1195" w:rsidRPr="0010207E">
        <w:rPr>
          <w:sz w:val="28"/>
          <w:szCs w:val="28"/>
        </w:rPr>
        <w:t xml:space="preserve"> (</w:t>
      </w:r>
      <w:r w:rsidR="00BB1195" w:rsidRPr="0010207E">
        <w:rPr>
          <w:i/>
          <w:iCs/>
          <w:sz w:val="28"/>
          <w:szCs w:val="28"/>
        </w:rPr>
        <w:t>do đó, số liệu tính toán chi phí ước tính thực hiện tại cả cấp trung ương, cấp tỉnh, cấp huyện</w:t>
      </w:r>
      <w:r w:rsidR="00BB1195" w:rsidRPr="0010207E">
        <w:rPr>
          <w:sz w:val="28"/>
          <w:szCs w:val="28"/>
        </w:rPr>
        <w:t>)</w:t>
      </w:r>
    </w:p>
    <w:p w14:paraId="46B30BD8" w14:textId="77777777" w:rsidR="00D456F2" w:rsidRPr="0010207E" w:rsidRDefault="00D456F2" w:rsidP="00A0000E">
      <w:pPr>
        <w:spacing w:before="80" w:after="100" w:line="264" w:lineRule="auto"/>
        <w:ind w:firstLine="720"/>
        <w:jc w:val="both"/>
        <w:rPr>
          <w:sz w:val="28"/>
          <w:szCs w:val="28"/>
        </w:rPr>
      </w:pPr>
      <w:r w:rsidRPr="0010207E">
        <w:rPr>
          <w:sz w:val="28"/>
          <w:szCs w:val="28"/>
        </w:rPr>
        <w:t>- Các lệ phí, chi phí phát sinh (lệ phí chứng thực, tem bưu điện,…) được căn cứ trên cơ sở thực tế.</w:t>
      </w:r>
    </w:p>
    <w:p w14:paraId="588A3A6B" w14:textId="27948789" w:rsidR="00537556" w:rsidRPr="0010207E" w:rsidRDefault="00D456F2" w:rsidP="00A0000E">
      <w:pPr>
        <w:spacing w:before="80" w:after="100" w:line="264" w:lineRule="auto"/>
        <w:ind w:firstLine="720"/>
        <w:jc w:val="both"/>
        <w:rPr>
          <w:rFonts w:asciiTheme="majorHAnsi" w:hAnsiTheme="majorHAnsi" w:cstheme="majorHAnsi"/>
          <w:iCs/>
          <w:sz w:val="28"/>
          <w:szCs w:val="28"/>
        </w:rPr>
      </w:pPr>
      <w:r w:rsidRPr="0010207E">
        <w:rPr>
          <w:sz w:val="28"/>
          <w:szCs w:val="28"/>
        </w:rPr>
        <w:t>- Cá nhân thực hiện TTHC không phát sinh thêm các chi phí liên quan</w:t>
      </w:r>
      <w:r w:rsidR="00537556" w:rsidRPr="0010207E">
        <w:rPr>
          <w:rFonts w:asciiTheme="majorHAnsi" w:hAnsiTheme="majorHAnsi" w:cstheme="majorHAnsi"/>
          <w:iCs/>
          <w:sz w:val="28"/>
          <w:szCs w:val="28"/>
        </w:rPr>
        <w:t>.</w:t>
      </w:r>
    </w:p>
    <w:p w14:paraId="38BFE454" w14:textId="78205257" w:rsidR="00D456F2" w:rsidRPr="0010207E" w:rsidRDefault="00D456F2" w:rsidP="00A0000E">
      <w:pPr>
        <w:spacing w:before="80" w:after="100" w:line="264" w:lineRule="auto"/>
        <w:ind w:firstLine="720"/>
        <w:jc w:val="both"/>
        <w:rPr>
          <w:rFonts w:asciiTheme="majorHAnsi" w:hAnsiTheme="majorHAnsi" w:cstheme="majorHAnsi"/>
          <w:iCs/>
          <w:sz w:val="28"/>
          <w:szCs w:val="28"/>
        </w:rPr>
      </w:pPr>
      <w:r w:rsidRPr="0010207E">
        <w:rPr>
          <w:sz w:val="28"/>
          <w:szCs w:val="28"/>
        </w:rPr>
        <w:t>- Nhà nước không phát sinh chi phí giải quyết TTHC cho cá nhân (ngoài chi phí in cấp, quản lý các loại giấy tờ).</w:t>
      </w:r>
    </w:p>
    <w:p w14:paraId="519FF98C" w14:textId="2FDC55E3" w:rsidR="00EE6457" w:rsidRPr="0010207E" w:rsidRDefault="00EE6457" w:rsidP="00EE6457">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Khoản 3 Điều 20; khoản 3 Điều 21; khoản 5 Điều 22 Dự thảo Luật giao Chính phủ quy định chi tiết các nội dung liên quan đến cấp, cấp lại, thu hồi, gia hạn giấy phép hành nghề dạy học và việc công nhận tương đương giấy phép hành nghề dạy học. Do đó, việc đánh giá các nội dung chi tiết sẽ được thực hiện trong quá trình xây dựng văn bản quy định chi tiết Luật.</w:t>
      </w:r>
    </w:p>
    <w:p w14:paraId="30A1B017" w14:textId="632FBB25" w:rsidR="00DF178A" w:rsidRPr="0010207E" w:rsidRDefault="00DF178A"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w:t>
      </w:r>
      <w:r w:rsidRPr="0010207E">
        <w:rPr>
          <w:rFonts w:asciiTheme="majorHAnsi" w:hAnsiTheme="majorHAnsi" w:cstheme="majorHAnsi"/>
          <w:i/>
          <w:sz w:val="28"/>
          <w:szCs w:val="28"/>
          <w:lang w:val="vi-VN"/>
        </w:rPr>
        <w:t xml:space="preserve">Xin gửi kèm theo Biểu mẫu đánh giá tác động các </w:t>
      </w:r>
      <w:r w:rsidRPr="0010207E">
        <w:rPr>
          <w:rFonts w:asciiTheme="majorHAnsi" w:hAnsiTheme="majorHAnsi" w:cstheme="majorHAnsi"/>
          <w:i/>
          <w:sz w:val="28"/>
          <w:szCs w:val="28"/>
        </w:rPr>
        <w:t>thủ tục hành chính dự kiến ban hành mới</w:t>
      </w:r>
      <w:r w:rsidRPr="0010207E">
        <w:rPr>
          <w:rFonts w:asciiTheme="majorHAnsi" w:hAnsiTheme="majorHAnsi" w:cstheme="majorHAnsi"/>
          <w:sz w:val="28"/>
          <w:szCs w:val="28"/>
        </w:rPr>
        <w:t>).</w:t>
      </w:r>
    </w:p>
    <w:p w14:paraId="26278871" w14:textId="39D6B240" w:rsidR="00702A8F" w:rsidRPr="0010207E" w:rsidRDefault="00702A8F" w:rsidP="00A0000E">
      <w:pPr>
        <w:spacing w:before="80" w:after="100" w:line="264" w:lineRule="auto"/>
        <w:ind w:firstLine="720"/>
        <w:jc w:val="both"/>
        <w:rPr>
          <w:rFonts w:asciiTheme="majorHAnsi" w:eastAsia="MS Mincho" w:hAnsiTheme="majorHAnsi" w:cstheme="majorHAnsi"/>
          <w:b/>
          <w:sz w:val="28"/>
          <w:szCs w:val="28"/>
        </w:rPr>
      </w:pPr>
      <w:r w:rsidRPr="0010207E">
        <w:rPr>
          <w:rFonts w:asciiTheme="majorHAnsi" w:eastAsia="MS Mincho" w:hAnsiTheme="majorHAnsi" w:cstheme="majorHAnsi"/>
          <w:b/>
          <w:sz w:val="28"/>
          <w:szCs w:val="28"/>
        </w:rPr>
        <w:t xml:space="preserve">2. </w:t>
      </w:r>
      <w:r w:rsidR="00AD7B31" w:rsidRPr="0010207E">
        <w:rPr>
          <w:rFonts w:asciiTheme="majorHAnsi" w:eastAsia="MS Mincho" w:hAnsiTheme="majorHAnsi" w:cstheme="majorHAnsi"/>
          <w:b/>
          <w:sz w:val="28"/>
          <w:szCs w:val="28"/>
        </w:rPr>
        <w:t>Những</w:t>
      </w:r>
      <w:r w:rsidRPr="0010207E">
        <w:rPr>
          <w:rFonts w:asciiTheme="majorHAnsi" w:eastAsia="MS Mincho" w:hAnsiTheme="majorHAnsi" w:cstheme="majorHAnsi"/>
          <w:b/>
          <w:sz w:val="28"/>
          <w:szCs w:val="28"/>
        </w:rPr>
        <w:t xml:space="preserve"> </w:t>
      </w:r>
      <w:r w:rsidR="005D4391" w:rsidRPr="0010207E">
        <w:rPr>
          <w:rFonts w:asciiTheme="majorHAnsi" w:eastAsia="MS Mincho" w:hAnsiTheme="majorHAnsi" w:cstheme="majorHAnsi"/>
          <w:b/>
          <w:sz w:val="28"/>
          <w:szCs w:val="28"/>
        </w:rPr>
        <w:t>TTHC</w:t>
      </w:r>
      <w:r w:rsidRPr="0010207E">
        <w:rPr>
          <w:rFonts w:asciiTheme="majorHAnsi" w:eastAsia="MS Mincho" w:hAnsiTheme="majorHAnsi" w:cstheme="majorHAnsi"/>
          <w:b/>
          <w:sz w:val="28"/>
          <w:szCs w:val="28"/>
        </w:rPr>
        <w:t xml:space="preserve"> được sửa đổi, bổ sung</w:t>
      </w:r>
    </w:p>
    <w:p w14:paraId="5AAAF3E5" w14:textId="77777777" w:rsidR="00E43077" w:rsidRPr="0010207E" w:rsidRDefault="00E43077"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Dự thảo Luật Nhà giáo dự kiến quy định một số chính sách có tác động đến đội ngũ giáo viên trong cả nước, bao gồm cả giáo viên công tác tại các cơ sở giáo dục công lập (đang chịu sự điều chỉnh của Luật Viên chức) và giáo viên công tác tại các cơ sở giáo dục ngoài công lập.</w:t>
      </w:r>
    </w:p>
    <w:p w14:paraId="0E82AB7F" w14:textId="66FD7A9A" w:rsidR="00C8623A" w:rsidRPr="0010207E" w:rsidRDefault="00DF178A"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Các c</w:t>
      </w:r>
      <w:r w:rsidR="00E43077" w:rsidRPr="0010207E">
        <w:rPr>
          <w:rFonts w:asciiTheme="majorHAnsi" w:hAnsiTheme="majorHAnsi" w:cstheme="majorHAnsi"/>
          <w:iCs/>
          <w:spacing w:val="2"/>
          <w:sz w:val="28"/>
          <w:szCs w:val="28"/>
        </w:rPr>
        <w:t xml:space="preserve">hính sách </w:t>
      </w:r>
      <w:r w:rsidRPr="0010207E">
        <w:rPr>
          <w:rFonts w:asciiTheme="majorHAnsi" w:hAnsiTheme="majorHAnsi" w:cstheme="majorHAnsi"/>
          <w:iCs/>
          <w:spacing w:val="2"/>
          <w:sz w:val="28"/>
          <w:szCs w:val="28"/>
        </w:rPr>
        <w:t xml:space="preserve">về: </w:t>
      </w:r>
      <w:r w:rsidR="00E43077" w:rsidRPr="0010207E">
        <w:rPr>
          <w:rFonts w:asciiTheme="majorHAnsi" w:hAnsiTheme="majorHAnsi" w:cstheme="majorHAnsi"/>
          <w:iCs/>
          <w:spacing w:val="2"/>
          <w:sz w:val="28"/>
          <w:szCs w:val="28"/>
        </w:rPr>
        <w:t>Tiêu chuẩn và chức danh nhà giáo</w:t>
      </w:r>
      <w:r w:rsidRPr="0010207E">
        <w:rPr>
          <w:rFonts w:asciiTheme="majorHAnsi" w:hAnsiTheme="majorHAnsi" w:cstheme="majorHAnsi"/>
          <w:iCs/>
          <w:spacing w:val="2"/>
          <w:sz w:val="28"/>
          <w:szCs w:val="28"/>
        </w:rPr>
        <w:t>; Tuyển dụng, sử dụng và chế độ làm việc của nhà giáo; Quản lý nhà nước về nhà giáo, Bộ Giáo dục và Đào tạo lựa chọn giải pháp lựa chọn</w:t>
      </w:r>
      <w:r w:rsidR="00E43077" w:rsidRPr="0010207E">
        <w:rPr>
          <w:rFonts w:asciiTheme="majorHAnsi" w:hAnsiTheme="majorHAnsi" w:cstheme="majorHAnsi"/>
          <w:iCs/>
          <w:spacing w:val="2"/>
          <w:sz w:val="28"/>
          <w:szCs w:val="28"/>
        </w:rPr>
        <w:t xml:space="preserve"> </w:t>
      </w:r>
      <w:r w:rsidR="00537556" w:rsidRPr="0010207E">
        <w:rPr>
          <w:rFonts w:asciiTheme="majorHAnsi" w:hAnsiTheme="majorHAnsi" w:cstheme="majorHAnsi"/>
          <w:iCs/>
          <w:spacing w:val="2"/>
          <w:sz w:val="28"/>
          <w:szCs w:val="28"/>
        </w:rPr>
        <w:t>q</w:t>
      </w:r>
      <w:r w:rsidR="00E43077" w:rsidRPr="0010207E">
        <w:rPr>
          <w:rFonts w:asciiTheme="majorHAnsi" w:hAnsiTheme="majorHAnsi" w:cstheme="majorHAnsi"/>
          <w:iCs/>
          <w:spacing w:val="2"/>
          <w:sz w:val="28"/>
          <w:szCs w:val="28"/>
        </w:rPr>
        <w:t>uy định về tiêu chuẩn nhà giáo và các chức danh nhà giáo</w:t>
      </w:r>
      <w:r w:rsidRPr="0010207E">
        <w:rPr>
          <w:rFonts w:asciiTheme="majorHAnsi" w:hAnsiTheme="majorHAnsi" w:cstheme="majorHAnsi"/>
          <w:iCs/>
          <w:spacing w:val="2"/>
          <w:sz w:val="28"/>
          <w:szCs w:val="28"/>
        </w:rPr>
        <w:t xml:space="preserve"> và quy định đồng bộ, thống nhất về tiêu chuẩn nhà giáo, tuyển dụng, sử dụng và các vấn đề quản lý nhà nước về nhà giáo trong Dự án Luật Nhà giáo</w:t>
      </w:r>
      <w:r w:rsidR="00E43077" w:rsidRPr="0010207E">
        <w:rPr>
          <w:rFonts w:asciiTheme="majorHAnsi" w:hAnsiTheme="majorHAnsi" w:cstheme="majorHAnsi"/>
          <w:iCs/>
          <w:spacing w:val="2"/>
          <w:sz w:val="28"/>
          <w:szCs w:val="28"/>
        </w:rPr>
        <w:t>.</w:t>
      </w:r>
    </w:p>
    <w:p w14:paraId="6B776FEB" w14:textId="77777777" w:rsidR="00BC3D9D" w:rsidRPr="0010207E" w:rsidRDefault="00DF178A" w:rsidP="00A0000E">
      <w:pPr>
        <w:spacing w:before="80" w:after="100" w:line="264" w:lineRule="auto"/>
        <w:ind w:firstLine="720"/>
        <w:jc w:val="both"/>
        <w:rPr>
          <w:rFonts w:asciiTheme="majorHAnsi" w:hAnsiTheme="majorHAnsi" w:cstheme="majorHAnsi"/>
          <w:iCs/>
          <w:sz w:val="28"/>
          <w:szCs w:val="28"/>
        </w:rPr>
      </w:pPr>
      <w:r w:rsidRPr="0010207E">
        <w:rPr>
          <w:rFonts w:asciiTheme="majorHAnsi" w:hAnsiTheme="majorHAnsi" w:cstheme="majorHAnsi"/>
          <w:iCs/>
          <w:sz w:val="28"/>
          <w:szCs w:val="28"/>
        </w:rPr>
        <w:t>Khi lựa chọn các g</w:t>
      </w:r>
      <w:r w:rsidR="00E43077" w:rsidRPr="0010207E">
        <w:rPr>
          <w:rFonts w:asciiTheme="majorHAnsi" w:hAnsiTheme="majorHAnsi" w:cstheme="majorHAnsi"/>
          <w:iCs/>
          <w:sz w:val="28"/>
          <w:szCs w:val="28"/>
        </w:rPr>
        <w:t>iải pháp này</w:t>
      </w:r>
      <w:r w:rsidRPr="0010207E">
        <w:rPr>
          <w:rFonts w:asciiTheme="majorHAnsi" w:hAnsiTheme="majorHAnsi" w:cstheme="majorHAnsi"/>
          <w:iCs/>
          <w:sz w:val="28"/>
          <w:szCs w:val="28"/>
        </w:rPr>
        <w:t>,</w:t>
      </w:r>
      <w:r w:rsidR="00E43077" w:rsidRPr="0010207E">
        <w:rPr>
          <w:rFonts w:asciiTheme="majorHAnsi" w:hAnsiTheme="majorHAnsi" w:cstheme="majorHAnsi"/>
          <w:iCs/>
          <w:sz w:val="28"/>
          <w:szCs w:val="28"/>
        </w:rPr>
        <w:t xml:space="preserve"> dự kiến </w:t>
      </w:r>
      <w:r w:rsidRPr="0010207E">
        <w:rPr>
          <w:rFonts w:asciiTheme="majorHAnsi" w:hAnsiTheme="majorHAnsi" w:cstheme="majorHAnsi"/>
          <w:iCs/>
          <w:sz w:val="28"/>
          <w:szCs w:val="28"/>
        </w:rPr>
        <w:t xml:space="preserve">Dự thảo Luật </w:t>
      </w:r>
      <w:r w:rsidR="00E43077" w:rsidRPr="0010207E">
        <w:rPr>
          <w:rFonts w:asciiTheme="majorHAnsi" w:hAnsiTheme="majorHAnsi" w:cstheme="majorHAnsi"/>
          <w:iCs/>
          <w:sz w:val="28"/>
          <w:szCs w:val="28"/>
        </w:rPr>
        <w:t xml:space="preserve">có </w:t>
      </w:r>
      <w:r w:rsidRPr="0010207E">
        <w:rPr>
          <w:rFonts w:asciiTheme="majorHAnsi" w:hAnsiTheme="majorHAnsi" w:cstheme="majorHAnsi"/>
          <w:iCs/>
          <w:sz w:val="28"/>
          <w:szCs w:val="28"/>
        </w:rPr>
        <w:t>tác động đến</w:t>
      </w:r>
      <w:r w:rsidR="00E43077" w:rsidRPr="0010207E">
        <w:rPr>
          <w:rFonts w:asciiTheme="majorHAnsi" w:hAnsiTheme="majorHAnsi" w:cstheme="majorHAnsi"/>
          <w:iCs/>
          <w:sz w:val="28"/>
          <w:szCs w:val="28"/>
        </w:rPr>
        <w:t xml:space="preserve"> nhóm các TTHC về tuyển dụng, </w:t>
      </w:r>
      <w:r w:rsidRPr="0010207E">
        <w:rPr>
          <w:rFonts w:asciiTheme="majorHAnsi" w:hAnsiTheme="majorHAnsi" w:cstheme="majorHAnsi"/>
          <w:iCs/>
          <w:sz w:val="28"/>
          <w:szCs w:val="28"/>
        </w:rPr>
        <w:t xml:space="preserve">xét tuyển, </w:t>
      </w:r>
      <w:r w:rsidR="00E43077" w:rsidRPr="0010207E">
        <w:rPr>
          <w:rFonts w:asciiTheme="majorHAnsi" w:hAnsiTheme="majorHAnsi" w:cstheme="majorHAnsi"/>
          <w:iCs/>
          <w:sz w:val="28"/>
          <w:szCs w:val="28"/>
        </w:rPr>
        <w:t xml:space="preserve">bổ nhiệm, bổ nhiệm lại, </w:t>
      </w:r>
      <w:r w:rsidRPr="0010207E">
        <w:rPr>
          <w:rFonts w:asciiTheme="majorHAnsi" w:hAnsiTheme="majorHAnsi" w:cstheme="majorHAnsi"/>
          <w:iCs/>
          <w:sz w:val="28"/>
          <w:szCs w:val="28"/>
        </w:rPr>
        <w:t>bổ nhiệm chức danh nghề nghiệp</w:t>
      </w:r>
      <w:r w:rsidR="00E43077" w:rsidRPr="0010207E">
        <w:rPr>
          <w:rFonts w:asciiTheme="majorHAnsi" w:hAnsiTheme="majorHAnsi" w:cstheme="majorHAnsi"/>
          <w:iCs/>
          <w:sz w:val="28"/>
          <w:szCs w:val="28"/>
        </w:rPr>
        <w:t xml:space="preserve">, </w:t>
      </w:r>
      <w:r w:rsidRPr="0010207E">
        <w:rPr>
          <w:rFonts w:asciiTheme="majorHAnsi" w:hAnsiTheme="majorHAnsi" w:cstheme="majorHAnsi"/>
          <w:iCs/>
          <w:sz w:val="28"/>
          <w:szCs w:val="28"/>
        </w:rPr>
        <w:t xml:space="preserve">công nhận, công nhận lại, không công nhận nhà giáo giữ chức vụ quản lý cơ sở giáo dục </w:t>
      </w:r>
      <w:r w:rsidR="00E43077" w:rsidRPr="0010207E">
        <w:rPr>
          <w:rFonts w:asciiTheme="majorHAnsi" w:hAnsiTheme="majorHAnsi" w:cstheme="majorHAnsi"/>
          <w:iCs/>
          <w:sz w:val="28"/>
          <w:szCs w:val="28"/>
        </w:rPr>
        <w:t>so với quy định của Luật Viên chức, Luật Giáo dục, Luật Giáo dục đại học, Luật Giáo dục nghề nghiệp và các văn bản quy định chi tiết, hướng dẫn thi hành.</w:t>
      </w:r>
      <w:r w:rsidRPr="0010207E">
        <w:rPr>
          <w:rFonts w:asciiTheme="majorHAnsi" w:hAnsiTheme="majorHAnsi" w:cstheme="majorHAnsi"/>
          <w:iCs/>
          <w:sz w:val="28"/>
          <w:szCs w:val="28"/>
        </w:rPr>
        <w:t xml:space="preserve"> </w:t>
      </w:r>
    </w:p>
    <w:p w14:paraId="48E58FC4" w14:textId="01B90F15" w:rsidR="00BC3D9D" w:rsidRPr="0010207E" w:rsidRDefault="00266665"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Theo đó, một trong những điểm mới được đề xuất quy định tại dự thảo Luật Nhà giáo là thẩm quyền tuyển dụng giáo viên do cơ quan quản lý giáo dục trực tiếp chịu trách nhiệm</w:t>
      </w:r>
      <w:r w:rsidR="00BC3D9D" w:rsidRPr="0010207E">
        <w:rPr>
          <w:rFonts w:asciiTheme="majorHAnsi" w:hAnsiTheme="majorHAnsi" w:cstheme="majorHAnsi"/>
          <w:iCs/>
          <w:spacing w:val="2"/>
          <w:sz w:val="28"/>
          <w:szCs w:val="28"/>
        </w:rPr>
        <w:t xml:space="preserve">: (1) Cơ sở giáo dục dân lập, tư thục, cơ sở giáo dục công lập tự bảo </w:t>
      </w:r>
      <w:r w:rsidR="00BC3D9D" w:rsidRPr="0010207E">
        <w:rPr>
          <w:rFonts w:asciiTheme="majorHAnsi" w:hAnsiTheme="majorHAnsi" w:cstheme="majorHAnsi"/>
          <w:iCs/>
          <w:spacing w:val="2"/>
          <w:sz w:val="28"/>
          <w:szCs w:val="28"/>
        </w:rPr>
        <w:lastRenderedPageBreak/>
        <w:t>đảm chi thường xuyên và chi đầu tư và cơ sở giáo dục công lập tự bảo đảm chi thường xuyên trực tiếp tuyển dụng nhà giáo theo nghị quyết của hội đồng trường hoặc hội đồng đại học ban hành; (2) Cơ sở giáo dục công lập tự bảo đảm một phần chi thường xuyên và cơ sở giáo dục công lập do ngân sách nhà nước bảo đảm chi thường xuyên trực tiếp tuyển dụng nhà giáo theo kế hoạch tuyển dụng đã được cơ quan quản lý trực tiếp của cơ sở giáo dục đó phê duyệt; hoặc trường hợp cơ sở giáo dục không tổ chức được việc tuyển dụng thì cơ quan quản lý giáo dục trực tiếp của cơ sở đó thực hiện việc tuyển dụng</w:t>
      </w:r>
      <w:r w:rsidRPr="0010207E">
        <w:rPr>
          <w:rFonts w:asciiTheme="majorHAnsi" w:hAnsiTheme="majorHAnsi" w:cstheme="majorHAnsi"/>
          <w:iCs/>
          <w:spacing w:val="2"/>
          <w:sz w:val="28"/>
          <w:szCs w:val="28"/>
        </w:rPr>
        <w:t xml:space="preserve"> (</w:t>
      </w:r>
      <w:r w:rsidRPr="0010207E">
        <w:rPr>
          <w:rFonts w:asciiTheme="majorHAnsi" w:hAnsiTheme="majorHAnsi" w:cstheme="majorHAnsi"/>
          <w:i/>
          <w:spacing w:val="2"/>
          <w:sz w:val="28"/>
          <w:szCs w:val="28"/>
        </w:rPr>
        <w:t>Điều 26 Dự thảo Luật Nhà giáo</w:t>
      </w:r>
      <w:r w:rsidRPr="0010207E">
        <w:rPr>
          <w:rFonts w:asciiTheme="majorHAnsi" w:hAnsiTheme="majorHAnsi" w:cstheme="majorHAnsi"/>
          <w:iCs/>
          <w:spacing w:val="2"/>
          <w:sz w:val="28"/>
          <w:szCs w:val="28"/>
        </w:rPr>
        <w:t xml:space="preserve">). </w:t>
      </w:r>
      <w:r w:rsidR="00BC3D9D" w:rsidRPr="0010207E">
        <w:rPr>
          <w:rFonts w:asciiTheme="majorHAnsi" w:hAnsiTheme="majorHAnsi" w:cstheme="majorHAnsi"/>
          <w:iCs/>
          <w:spacing w:val="2"/>
          <w:sz w:val="28"/>
          <w:szCs w:val="28"/>
        </w:rPr>
        <w:t xml:space="preserve">Thực tế hiện nay, ngành giáo dục không có thẩm quyền chính trong tuyển dụng giáo viên, chỉ giữ vai trò kiến nghị, đề xuất. </w:t>
      </w:r>
      <w:r w:rsidR="008D2DE9" w:rsidRPr="0010207E">
        <w:rPr>
          <w:rFonts w:asciiTheme="majorHAnsi" w:hAnsiTheme="majorHAnsi" w:cstheme="majorHAnsi"/>
          <w:iCs/>
          <w:spacing w:val="2"/>
          <w:sz w:val="28"/>
          <w:szCs w:val="28"/>
        </w:rPr>
        <w:t>Trong khi đó, có những địa phương mặc dù thừa, thiếu cục bộ giáo viên, nhưng ngành nội vụ vẫn gộp chung biên chế mà “cào bằng”; có những nơi, mặc dù có sự điều động giáo viên đúng nơi, đúng chỗ, nhưng thời gian thực hiện lại quá lâu, do vướng nhiều thủ tục; mặt khác, mỗi khu vực, vùng miền sẽ có những đặc trưng riêng, yêu cầu số lượng biên chế cũng như cơ cấu giáo viên khác nhau, không thể tính toán dựa trên một tỉ lệ “cứng”. Điều này cũng là một hạn chế khi triển khai chương trình giáo dục phổ thông mới, có những môn tích hợp và một số môn học mới được triển khai ở một cấp học cụ thể (Ví dụ: Môn Tiếng Anh và Tin học đối với học sinh từ lớp 3)..., các địa phương phải có giải pháp khắc phục khi chưa kịp tuyển dụng đội ngũ. Mặc dù ngành giáo dục hiểu rõ tại mỗi cơ sở giáo dục đang thiếu và cần giáo viên bộ môn gì, nhưng lại không được chủ động, dẫn đến nhiều khó khăn. Với q</w:t>
      </w:r>
      <w:r w:rsidR="00BC3D9D" w:rsidRPr="0010207E">
        <w:rPr>
          <w:rFonts w:asciiTheme="majorHAnsi" w:hAnsiTheme="majorHAnsi" w:cstheme="majorHAnsi"/>
          <w:iCs/>
          <w:spacing w:val="2"/>
          <w:sz w:val="28"/>
          <w:szCs w:val="28"/>
        </w:rPr>
        <w:t xml:space="preserve">uy định như trong Dự thảo Luật, ngành giáo dục và đào tạo sẽ được chủ trì tuyển dụng đội ngũ, thay vì chính quyền địa phương và ngành nội vụ như quy định hiện hành. Điều này giúp ngành giáo dục, cơ quan quản lý giáo dục các cấp được quyền tuyển dụng giáo viên và quản lý được nhân lực của mình, thể hiện sự nhất quán từ trên xuống dưới, không bị phân tán quản lý, mặt khác, cơ quan quản lý giáo dục nắm rõ về mặt chuyên môn, sẽ hiểu được nhu cầu của từng đơn vị, từng bộ phận đang cần đội ngũ như thế nào, qua đó, sẽ tuyển dụng được đúng người, đảm bảo chất lượng giáo dục; khắc phục tình trạng thừa, thiếu giáo viên cục bộ ở nhiều địa phương. </w:t>
      </w:r>
    </w:p>
    <w:p w14:paraId="1CCC7F36" w14:textId="6F09AFC4" w:rsidR="00DF178A" w:rsidRPr="0010207E" w:rsidRDefault="00DF178A"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Về chính sách Đào tạo, bồi dưỡng, đãi ngộ và tôn vinh nhà giáo, Bộ Giáo dục và Đào tạo lựa chọn giải pháp quy định đồng bộ, thống nhất các vấn đề về đào tạo, bồi dưỡng và chế độ ưu đãi, tôn vinh nhà giáo</w:t>
      </w:r>
    </w:p>
    <w:p w14:paraId="0F191B3A" w14:textId="34365891" w:rsidR="00E43077" w:rsidRPr="0010207E" w:rsidRDefault="00DF178A"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Với giải pháp này, dự kiến có những tác động dẫn đến sửa đổi, bổ sung các TTHC về xét tặng danh hiệu nhà giáo ưu tú, nhà giáo nhân dân; sửa đổi, bổ sung hoặc có thể làm phát sinh nhóm TTHC liên quan đến hỗ trợ nhà giáo; thu hút nhà giáo.</w:t>
      </w:r>
    </w:p>
    <w:p w14:paraId="6DCCC1D2" w14:textId="3747354B" w:rsidR="00DF178A" w:rsidRPr="0010207E" w:rsidRDefault="00DF178A"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 xml:space="preserve">Tuy nhiên, </w:t>
      </w:r>
      <w:r w:rsidR="00D93C9C" w:rsidRPr="0010207E">
        <w:rPr>
          <w:rFonts w:asciiTheme="majorHAnsi" w:hAnsiTheme="majorHAnsi" w:cstheme="majorHAnsi"/>
          <w:iCs/>
          <w:spacing w:val="2"/>
          <w:sz w:val="28"/>
          <w:szCs w:val="28"/>
        </w:rPr>
        <w:t>Bộ Giáo dục và Đào tạo</w:t>
      </w:r>
      <w:r w:rsidRPr="0010207E">
        <w:rPr>
          <w:rFonts w:asciiTheme="majorHAnsi" w:hAnsiTheme="majorHAnsi" w:cstheme="majorHAnsi"/>
          <w:iCs/>
          <w:spacing w:val="2"/>
          <w:sz w:val="28"/>
          <w:szCs w:val="28"/>
        </w:rPr>
        <w:t xml:space="preserve"> mới đưa ra những đánh giá mang tính dự báo về những tác động của các quy định, chính sách </w:t>
      </w:r>
      <w:r w:rsidR="00D93C9C" w:rsidRPr="0010207E">
        <w:rPr>
          <w:rFonts w:asciiTheme="majorHAnsi" w:hAnsiTheme="majorHAnsi" w:cstheme="majorHAnsi"/>
          <w:iCs/>
          <w:spacing w:val="2"/>
          <w:sz w:val="28"/>
          <w:szCs w:val="28"/>
        </w:rPr>
        <w:t>trong Dự thảo Luật Nhà giáo</w:t>
      </w:r>
      <w:r w:rsidRPr="0010207E">
        <w:rPr>
          <w:rFonts w:asciiTheme="majorHAnsi" w:hAnsiTheme="majorHAnsi" w:cstheme="majorHAnsi"/>
          <w:iCs/>
          <w:spacing w:val="2"/>
          <w:sz w:val="28"/>
          <w:szCs w:val="28"/>
        </w:rPr>
        <w:t>. Về mặt thẩm quyền quy định các TTHC có liên quan không thay đổi so với quy định hiện hành</w:t>
      </w:r>
      <w:r w:rsidR="00D93C9C" w:rsidRPr="0010207E">
        <w:rPr>
          <w:rFonts w:asciiTheme="majorHAnsi" w:hAnsiTheme="majorHAnsi" w:cstheme="majorHAnsi"/>
          <w:iCs/>
          <w:spacing w:val="2"/>
          <w:sz w:val="28"/>
          <w:szCs w:val="28"/>
        </w:rPr>
        <w:t xml:space="preserve">. Mặt khác, số lượng viên chức công tác trong ngành giáo dục chiếm tỷ lệ lớn nên việc quy định chính sách có thể cũng không thay đổi nhiều về trình tự, thủ tục thực hiện, mà tập trung hoàn thiện các quy định về điều kiện áp dụng mang tính đặc </w:t>
      </w:r>
      <w:r w:rsidR="00D93C9C" w:rsidRPr="0010207E">
        <w:rPr>
          <w:rFonts w:asciiTheme="majorHAnsi" w:hAnsiTheme="majorHAnsi" w:cstheme="majorHAnsi"/>
          <w:iCs/>
          <w:spacing w:val="2"/>
          <w:sz w:val="28"/>
          <w:szCs w:val="28"/>
        </w:rPr>
        <w:lastRenderedPageBreak/>
        <w:t xml:space="preserve">thù với đối tượng là các nhà giáo. </w:t>
      </w:r>
      <w:r w:rsidR="00537556" w:rsidRPr="0010207E">
        <w:rPr>
          <w:rFonts w:asciiTheme="majorHAnsi" w:hAnsiTheme="majorHAnsi" w:cstheme="majorHAnsi"/>
          <w:iCs/>
          <w:spacing w:val="2"/>
          <w:sz w:val="28"/>
          <w:szCs w:val="28"/>
        </w:rPr>
        <w:t>Các nội dung này trong Dự thảo Luật đang được quy định theo hướng giao Chính phủ, Bộ Giáo dục và Đào tạo, Bộ Lao động - Thương binh và Xã hội quy định chi tiết</w:t>
      </w:r>
      <w:r w:rsidR="00646CFF" w:rsidRPr="0010207E">
        <w:rPr>
          <w:rFonts w:asciiTheme="majorHAnsi" w:hAnsiTheme="majorHAnsi" w:cstheme="majorHAnsi"/>
          <w:iCs/>
          <w:spacing w:val="2"/>
          <w:sz w:val="28"/>
          <w:szCs w:val="28"/>
        </w:rPr>
        <w:t xml:space="preserve"> theo đúng thẩm quyền</w:t>
      </w:r>
      <w:r w:rsidR="00537556" w:rsidRPr="0010207E">
        <w:rPr>
          <w:rFonts w:asciiTheme="majorHAnsi" w:hAnsiTheme="majorHAnsi" w:cstheme="majorHAnsi"/>
          <w:iCs/>
          <w:spacing w:val="2"/>
          <w:sz w:val="28"/>
          <w:szCs w:val="28"/>
        </w:rPr>
        <w:t xml:space="preserve">. </w:t>
      </w:r>
      <w:r w:rsidR="00D93C9C" w:rsidRPr="0010207E">
        <w:rPr>
          <w:rFonts w:asciiTheme="majorHAnsi" w:hAnsiTheme="majorHAnsi" w:cstheme="majorHAnsi"/>
          <w:iCs/>
          <w:spacing w:val="2"/>
          <w:sz w:val="28"/>
          <w:szCs w:val="28"/>
        </w:rPr>
        <w:t xml:space="preserve">Do đó, Bộ Giáo dục và Đào tạo </w:t>
      </w:r>
      <w:r w:rsidR="00292E8A" w:rsidRPr="0010207E">
        <w:rPr>
          <w:rFonts w:asciiTheme="majorHAnsi" w:hAnsiTheme="majorHAnsi" w:cstheme="majorHAnsi"/>
          <w:iCs/>
          <w:spacing w:val="2"/>
          <w:sz w:val="28"/>
          <w:szCs w:val="28"/>
        </w:rPr>
        <w:t>sẽ hoàn thiện việc đánh giá tác động các TTHC trong quá trình xây dựng văn bản hướng dẫn thi hành hoặc quy định chi tiết một số điều của Luật.</w:t>
      </w:r>
    </w:p>
    <w:p w14:paraId="37269C15" w14:textId="2464F921" w:rsidR="00D93C9C" w:rsidRPr="0010207E" w:rsidRDefault="00D93C9C" w:rsidP="00A0000E">
      <w:pPr>
        <w:spacing w:before="80" w:after="100" w:line="264" w:lineRule="auto"/>
        <w:ind w:firstLine="720"/>
        <w:jc w:val="both"/>
        <w:rPr>
          <w:rFonts w:asciiTheme="majorHAnsi" w:hAnsiTheme="majorHAnsi" w:cstheme="majorHAnsi"/>
          <w:iCs/>
          <w:spacing w:val="2"/>
          <w:sz w:val="28"/>
          <w:szCs w:val="28"/>
        </w:rPr>
      </w:pPr>
      <w:r w:rsidRPr="0010207E">
        <w:rPr>
          <w:rFonts w:asciiTheme="majorHAnsi" w:hAnsiTheme="majorHAnsi" w:cstheme="majorHAnsi"/>
          <w:iCs/>
          <w:spacing w:val="2"/>
          <w:sz w:val="28"/>
          <w:szCs w:val="28"/>
        </w:rPr>
        <w:t>(</w:t>
      </w:r>
      <w:r w:rsidRPr="0010207E">
        <w:rPr>
          <w:rFonts w:asciiTheme="majorHAnsi" w:hAnsiTheme="majorHAnsi" w:cstheme="majorHAnsi"/>
          <w:i/>
          <w:spacing w:val="2"/>
          <w:sz w:val="28"/>
          <w:szCs w:val="28"/>
        </w:rPr>
        <w:t>Xin gửi kèm theo chi tiết các TTHC hiện hành dự kiến chịu ảnh hưởng của các chính sách quy định tại Dự thảo Luật</w:t>
      </w:r>
      <w:r w:rsidR="002360C0" w:rsidRPr="0010207E">
        <w:rPr>
          <w:rFonts w:asciiTheme="majorHAnsi" w:hAnsiTheme="majorHAnsi" w:cstheme="majorHAnsi"/>
          <w:i/>
          <w:spacing w:val="2"/>
          <w:sz w:val="28"/>
          <w:szCs w:val="28"/>
        </w:rPr>
        <w:t xml:space="preserve"> tại Phụ lục I</w:t>
      </w:r>
      <w:r w:rsidRPr="0010207E">
        <w:rPr>
          <w:rFonts w:asciiTheme="majorHAnsi" w:hAnsiTheme="majorHAnsi" w:cstheme="majorHAnsi"/>
          <w:iCs/>
          <w:spacing w:val="2"/>
          <w:sz w:val="28"/>
          <w:szCs w:val="28"/>
        </w:rPr>
        <w:t>)</w:t>
      </w:r>
    </w:p>
    <w:p w14:paraId="13D844ED" w14:textId="77777777" w:rsidR="00CB2E59" w:rsidRPr="0010207E" w:rsidRDefault="00702A8F" w:rsidP="00A0000E">
      <w:pPr>
        <w:spacing w:before="80" w:after="100" w:line="264" w:lineRule="auto"/>
        <w:ind w:firstLine="720"/>
        <w:jc w:val="both"/>
        <w:rPr>
          <w:rFonts w:asciiTheme="majorHAnsi" w:eastAsia="MS Mincho" w:hAnsiTheme="majorHAnsi" w:cstheme="majorHAnsi"/>
          <w:b/>
          <w:sz w:val="29"/>
          <w:szCs w:val="29"/>
        </w:rPr>
      </w:pPr>
      <w:r w:rsidRPr="0010207E">
        <w:rPr>
          <w:rFonts w:asciiTheme="majorHAnsi" w:eastAsia="MS Mincho" w:hAnsiTheme="majorHAnsi" w:cstheme="majorHAnsi"/>
          <w:b/>
          <w:sz w:val="29"/>
          <w:szCs w:val="29"/>
        </w:rPr>
        <w:t>3. Đối với thủ tục hành chính được bãi bỏ</w:t>
      </w:r>
    </w:p>
    <w:p w14:paraId="6AD8E547" w14:textId="77777777" w:rsidR="00702A8F" w:rsidRPr="0010207E" w:rsidRDefault="00702A8F" w:rsidP="00A0000E">
      <w:pPr>
        <w:spacing w:before="80" w:after="100" w:line="264" w:lineRule="auto"/>
        <w:ind w:firstLine="720"/>
        <w:jc w:val="both"/>
        <w:rPr>
          <w:rFonts w:asciiTheme="majorHAnsi" w:eastAsia="MS Mincho" w:hAnsiTheme="majorHAnsi" w:cstheme="majorHAnsi"/>
          <w:sz w:val="29"/>
          <w:szCs w:val="29"/>
        </w:rPr>
      </w:pPr>
      <w:r w:rsidRPr="0010207E">
        <w:rPr>
          <w:rFonts w:asciiTheme="majorHAnsi" w:eastAsia="MS Mincho" w:hAnsiTheme="majorHAnsi" w:cstheme="majorHAnsi"/>
          <w:sz w:val="29"/>
          <w:szCs w:val="29"/>
        </w:rPr>
        <w:t>Không có.</w:t>
      </w:r>
    </w:p>
    <w:p w14:paraId="1DE0C2F1" w14:textId="0E7B4C69" w:rsidR="00CB2E59" w:rsidRPr="0010207E" w:rsidRDefault="00702A8F" w:rsidP="00A0000E">
      <w:pPr>
        <w:spacing w:before="80" w:after="100" w:line="264" w:lineRule="auto"/>
        <w:ind w:firstLine="720"/>
        <w:jc w:val="both"/>
        <w:rPr>
          <w:rFonts w:asciiTheme="majorHAnsi" w:eastAsia="MS Mincho" w:hAnsiTheme="majorHAnsi" w:cstheme="majorHAnsi"/>
          <w:b/>
          <w:sz w:val="29"/>
          <w:szCs w:val="29"/>
        </w:rPr>
      </w:pPr>
      <w:r w:rsidRPr="0010207E">
        <w:rPr>
          <w:rFonts w:asciiTheme="majorHAnsi" w:eastAsia="MS Mincho" w:hAnsiTheme="majorHAnsi" w:cstheme="majorHAnsi"/>
          <w:b/>
          <w:sz w:val="29"/>
          <w:szCs w:val="29"/>
        </w:rPr>
        <w:t>III. LẤY Ý KIẾN</w:t>
      </w:r>
    </w:p>
    <w:p w14:paraId="33821936" w14:textId="751508AD" w:rsidR="00C82FB3" w:rsidRPr="0010207E" w:rsidRDefault="0045665C" w:rsidP="00A0000E">
      <w:pPr>
        <w:spacing w:before="80" w:after="100" w:line="264" w:lineRule="auto"/>
        <w:ind w:firstLine="720"/>
        <w:jc w:val="both"/>
        <w:rPr>
          <w:rFonts w:asciiTheme="majorHAnsi" w:hAnsiTheme="majorHAnsi" w:cstheme="majorHAnsi"/>
          <w:sz w:val="28"/>
          <w:szCs w:val="28"/>
        </w:rPr>
      </w:pPr>
      <w:r w:rsidRPr="0010207E">
        <w:rPr>
          <w:rFonts w:asciiTheme="majorHAnsi" w:hAnsiTheme="majorHAnsi" w:cstheme="majorHAnsi"/>
          <w:sz w:val="28"/>
          <w:szCs w:val="28"/>
        </w:rPr>
        <w:t xml:space="preserve">1. </w:t>
      </w:r>
      <w:r w:rsidR="00C82FB3" w:rsidRPr="0010207E">
        <w:rPr>
          <w:rFonts w:asciiTheme="majorHAnsi" w:hAnsiTheme="majorHAnsi" w:cstheme="majorHAnsi"/>
          <w:sz w:val="28"/>
          <w:szCs w:val="28"/>
        </w:rPr>
        <w:t>Bộ Giáo dục và Đào tạo đã tổ chức các Hội thảo, Tọa đàm tham vấn</w:t>
      </w:r>
      <w:r w:rsidR="00C82FB3" w:rsidRPr="0010207E">
        <w:rPr>
          <w:rFonts w:asciiTheme="majorHAnsi" w:hAnsiTheme="majorHAnsi" w:cstheme="majorHAnsi"/>
          <w:sz w:val="28"/>
          <w:szCs w:val="28"/>
          <w:lang w:val="vi-VN"/>
        </w:rPr>
        <w:t xml:space="preserve"> các cá nhân, tổ chức</w:t>
      </w:r>
      <w:r w:rsidRPr="0010207E">
        <w:rPr>
          <w:rFonts w:asciiTheme="majorHAnsi" w:hAnsiTheme="majorHAnsi" w:cstheme="majorHAnsi"/>
          <w:sz w:val="28"/>
          <w:szCs w:val="28"/>
        </w:rPr>
        <w:t xml:space="preserve"> chịu tác động trực tiếp và các tổ chức, cá nhân</w:t>
      </w:r>
      <w:r w:rsidR="00C82FB3" w:rsidRPr="0010207E">
        <w:rPr>
          <w:rFonts w:asciiTheme="majorHAnsi" w:hAnsiTheme="majorHAnsi" w:cstheme="majorHAnsi"/>
          <w:sz w:val="28"/>
          <w:szCs w:val="28"/>
          <w:lang w:val="vi-VN"/>
        </w:rPr>
        <w:t xml:space="preserve"> có liên quan</w:t>
      </w:r>
      <w:r w:rsidRPr="0010207E">
        <w:rPr>
          <w:rFonts w:asciiTheme="majorHAnsi" w:hAnsiTheme="majorHAnsi" w:cstheme="majorHAnsi"/>
          <w:sz w:val="28"/>
          <w:szCs w:val="28"/>
        </w:rPr>
        <w:t xml:space="preserve"> </w:t>
      </w:r>
      <w:r w:rsidR="00C82FB3" w:rsidRPr="0010207E">
        <w:rPr>
          <w:rFonts w:asciiTheme="majorHAnsi" w:hAnsiTheme="majorHAnsi" w:cstheme="majorHAnsi"/>
          <w:sz w:val="28"/>
          <w:szCs w:val="28"/>
        </w:rPr>
        <w:t>về dự án Luật Nhà giáo</w:t>
      </w:r>
      <w:r w:rsidR="0010207E" w:rsidRPr="0010207E">
        <w:rPr>
          <w:rFonts w:asciiTheme="majorHAnsi" w:hAnsiTheme="majorHAnsi" w:cstheme="majorHAnsi"/>
          <w:sz w:val="28"/>
          <w:szCs w:val="28"/>
          <w:lang w:val="vi-VN"/>
        </w:rPr>
        <w:t xml:space="preserve"> (</w:t>
      </w:r>
      <w:r w:rsidR="0010207E" w:rsidRPr="0010207E">
        <w:rPr>
          <w:rFonts w:asciiTheme="majorHAnsi" w:hAnsiTheme="majorHAnsi" w:cstheme="majorHAnsi"/>
          <w:i/>
          <w:sz w:val="28"/>
          <w:szCs w:val="28"/>
        </w:rPr>
        <w:t>14 Bộ, ngành liên quan, 63 tỉnh/thành phố và 23 cơ sở giáo dục đại học và trường cao đẳng sư phạm với sự tham gia góp ý của khoảng 800.000 nhà giáo trong nước và quốc tế</w:t>
      </w:r>
      <w:r w:rsidR="0010207E" w:rsidRPr="0010207E">
        <w:rPr>
          <w:rFonts w:asciiTheme="majorHAnsi" w:hAnsiTheme="majorHAnsi" w:cstheme="majorHAnsi"/>
          <w:sz w:val="28"/>
          <w:szCs w:val="28"/>
          <w:lang w:val="vi-VN"/>
        </w:rPr>
        <w:t>)</w:t>
      </w:r>
      <w:r w:rsidR="0010207E" w:rsidRPr="0010207E">
        <w:rPr>
          <w:rFonts w:asciiTheme="majorHAnsi" w:hAnsiTheme="majorHAnsi" w:cstheme="majorHAnsi"/>
          <w:sz w:val="28"/>
          <w:szCs w:val="28"/>
        </w:rPr>
        <w:t>.</w:t>
      </w:r>
      <w:r w:rsidR="0010207E" w:rsidRPr="0010207E">
        <w:rPr>
          <w:rFonts w:asciiTheme="majorHAnsi" w:hAnsiTheme="majorHAnsi" w:cstheme="majorHAnsi"/>
          <w:sz w:val="28"/>
          <w:szCs w:val="28"/>
          <w:lang w:val="vi-VN"/>
        </w:rPr>
        <w:t xml:space="preserve"> </w:t>
      </w:r>
      <w:r w:rsidRPr="0010207E">
        <w:rPr>
          <w:rFonts w:asciiTheme="majorHAnsi" w:hAnsiTheme="majorHAnsi" w:cstheme="majorHAnsi"/>
          <w:sz w:val="28"/>
          <w:szCs w:val="28"/>
        </w:rPr>
        <w:t>Trong đó</w:t>
      </w:r>
      <w:r w:rsidR="00653F23" w:rsidRPr="0010207E">
        <w:rPr>
          <w:rFonts w:asciiTheme="majorHAnsi" w:hAnsiTheme="majorHAnsi" w:cstheme="majorHAnsi"/>
          <w:sz w:val="28"/>
          <w:szCs w:val="28"/>
        </w:rPr>
        <w:t xml:space="preserve">, quy định về nhóm TTHC liên quan đến giấy chứng chỉ </w:t>
      </w:r>
      <w:r w:rsidR="00FE4C92" w:rsidRPr="0010207E">
        <w:rPr>
          <w:rFonts w:asciiTheme="majorHAnsi" w:hAnsiTheme="majorHAnsi" w:cstheme="majorHAnsi"/>
          <w:sz w:val="28"/>
          <w:szCs w:val="28"/>
        </w:rPr>
        <w:t>hành nghề dạy học</w:t>
      </w:r>
      <w:r w:rsidR="00653F23" w:rsidRPr="0010207E">
        <w:rPr>
          <w:rFonts w:asciiTheme="majorHAnsi" w:hAnsiTheme="majorHAnsi" w:cstheme="majorHAnsi"/>
          <w:sz w:val="28"/>
          <w:szCs w:val="28"/>
        </w:rPr>
        <w:t xml:space="preserve"> là những quy định hoàn toàn mới, chưa được quy định tại bất kỳ văn bản nào về nhà giáo, do đó, </w:t>
      </w:r>
      <w:r w:rsidRPr="0010207E">
        <w:rPr>
          <w:rFonts w:asciiTheme="majorHAnsi" w:hAnsiTheme="majorHAnsi" w:cstheme="majorHAnsi"/>
          <w:sz w:val="28"/>
          <w:szCs w:val="28"/>
        </w:rPr>
        <w:t xml:space="preserve">đã nhận được rất nhiều ý kiến </w:t>
      </w:r>
      <w:r w:rsidR="00653F23" w:rsidRPr="0010207E">
        <w:rPr>
          <w:rFonts w:asciiTheme="majorHAnsi" w:hAnsiTheme="majorHAnsi" w:cstheme="majorHAnsi"/>
          <w:sz w:val="28"/>
          <w:szCs w:val="28"/>
        </w:rPr>
        <w:t>góp ý</w:t>
      </w:r>
      <w:r w:rsidRPr="0010207E">
        <w:rPr>
          <w:rFonts w:asciiTheme="majorHAnsi" w:hAnsiTheme="majorHAnsi" w:cstheme="majorHAnsi"/>
          <w:sz w:val="28"/>
          <w:szCs w:val="28"/>
        </w:rPr>
        <w:t>.</w:t>
      </w:r>
      <w:r w:rsidR="00653F23" w:rsidRPr="0010207E">
        <w:rPr>
          <w:rFonts w:asciiTheme="majorHAnsi" w:hAnsiTheme="majorHAnsi" w:cstheme="majorHAnsi"/>
          <w:sz w:val="28"/>
          <w:szCs w:val="28"/>
        </w:rPr>
        <w:t xml:space="preserve"> Bộ Giáo dục và Đào tạo đã tổng hợp, nghiên cứu và tiếp thu các ý kiến góp ý, qua đó, việc quy định cấp, cấp lại, gia hạn, thu hồi giấy phép </w:t>
      </w:r>
      <w:r w:rsidR="00FE4C92" w:rsidRPr="0010207E">
        <w:rPr>
          <w:rFonts w:asciiTheme="majorHAnsi" w:hAnsiTheme="majorHAnsi" w:cstheme="majorHAnsi"/>
          <w:sz w:val="28"/>
          <w:szCs w:val="28"/>
        </w:rPr>
        <w:t>hành nghề dạy học</w:t>
      </w:r>
      <w:r w:rsidR="00653F23" w:rsidRPr="0010207E">
        <w:rPr>
          <w:rFonts w:asciiTheme="majorHAnsi" w:hAnsiTheme="majorHAnsi" w:cstheme="majorHAnsi"/>
          <w:sz w:val="28"/>
          <w:szCs w:val="28"/>
        </w:rPr>
        <w:t xml:space="preserve"> là TTHC là cần thiết nhằm tạo thuận lợi cho các tổ chức, cá nhân, trong đó có các nhà giáo thực hiện đăng ký hành nghề, bảo đảm tuân thủ theo đúng quy định của pháp luật.</w:t>
      </w:r>
    </w:p>
    <w:p w14:paraId="25B337A1" w14:textId="445F77C5" w:rsidR="002360C0" w:rsidRPr="0010207E" w:rsidRDefault="0045665C" w:rsidP="002360C0">
      <w:pPr>
        <w:spacing w:before="80" w:after="100" w:line="264" w:lineRule="auto"/>
        <w:ind w:firstLine="720"/>
        <w:jc w:val="both"/>
        <w:rPr>
          <w:rFonts w:asciiTheme="majorHAnsi" w:hAnsiTheme="majorHAnsi" w:cstheme="majorHAnsi"/>
          <w:bCs/>
          <w:iCs/>
          <w:sz w:val="28"/>
          <w:szCs w:val="28"/>
        </w:rPr>
      </w:pPr>
      <w:r w:rsidRPr="0010207E">
        <w:rPr>
          <w:rFonts w:asciiTheme="majorHAnsi" w:hAnsiTheme="majorHAnsi" w:cstheme="majorHAnsi"/>
          <w:sz w:val="28"/>
          <w:szCs w:val="28"/>
        </w:rPr>
        <w:t xml:space="preserve">2. </w:t>
      </w:r>
      <w:r w:rsidR="00C82FB3" w:rsidRPr="0010207E">
        <w:rPr>
          <w:rFonts w:asciiTheme="majorHAnsi" w:hAnsiTheme="majorHAnsi" w:cstheme="majorHAnsi"/>
          <w:sz w:val="28"/>
          <w:szCs w:val="28"/>
        </w:rPr>
        <w:t>Hồ sơ dự án Luật Nhà giáo và</w:t>
      </w:r>
      <w:r w:rsidR="00C82FB3" w:rsidRPr="0010207E">
        <w:rPr>
          <w:rFonts w:asciiTheme="majorHAnsi" w:hAnsiTheme="majorHAnsi" w:cstheme="majorHAnsi"/>
          <w:sz w:val="28"/>
          <w:szCs w:val="28"/>
          <w:lang w:val="vi-VN"/>
        </w:rPr>
        <w:t xml:space="preserve"> dự thảo Bản đánh giá </w:t>
      </w:r>
      <w:r w:rsidR="00C82FB3" w:rsidRPr="0010207E">
        <w:rPr>
          <w:rFonts w:asciiTheme="majorHAnsi" w:hAnsiTheme="majorHAnsi" w:cstheme="majorHAnsi"/>
          <w:sz w:val="28"/>
          <w:szCs w:val="28"/>
        </w:rPr>
        <w:t>TTHC</w:t>
      </w:r>
      <w:r w:rsidR="00C82FB3" w:rsidRPr="0010207E">
        <w:rPr>
          <w:rFonts w:asciiTheme="majorHAnsi" w:hAnsiTheme="majorHAnsi" w:cstheme="majorHAnsi"/>
          <w:sz w:val="28"/>
          <w:szCs w:val="28"/>
          <w:lang w:val="vi-VN"/>
        </w:rPr>
        <w:t xml:space="preserve"> của </w:t>
      </w:r>
      <w:r w:rsidR="00C82FB3" w:rsidRPr="0010207E">
        <w:rPr>
          <w:rFonts w:asciiTheme="majorHAnsi" w:hAnsiTheme="majorHAnsi" w:cstheme="majorHAnsi"/>
          <w:sz w:val="28"/>
          <w:szCs w:val="28"/>
        </w:rPr>
        <w:t>Dự án Luật đã gửi</w:t>
      </w:r>
      <w:r w:rsidR="00702A8F" w:rsidRPr="0010207E">
        <w:rPr>
          <w:rFonts w:asciiTheme="majorHAnsi" w:hAnsiTheme="majorHAnsi" w:cstheme="majorHAnsi"/>
          <w:sz w:val="28"/>
          <w:szCs w:val="28"/>
          <w:lang w:val="vi-VN"/>
        </w:rPr>
        <w:t xml:space="preserve"> lấy ý kiến của </w:t>
      </w:r>
      <w:r w:rsidR="00C82FB3" w:rsidRPr="0010207E">
        <w:rPr>
          <w:rFonts w:asciiTheme="majorHAnsi" w:hAnsiTheme="majorHAnsi" w:cstheme="majorHAnsi"/>
          <w:sz w:val="28"/>
          <w:szCs w:val="28"/>
        </w:rPr>
        <w:t>Văn phòng Chính phủ (Cục Kiểm soát thủ tục hành chính</w:t>
      </w:r>
      <w:r w:rsidR="004D2FAC" w:rsidRPr="0010207E">
        <w:rPr>
          <w:rFonts w:asciiTheme="majorHAnsi" w:hAnsiTheme="majorHAnsi" w:cstheme="majorHAnsi"/>
          <w:sz w:val="28"/>
          <w:szCs w:val="28"/>
        </w:rPr>
        <w:t>)</w:t>
      </w:r>
      <w:r w:rsidR="00702A8F" w:rsidRPr="0010207E">
        <w:rPr>
          <w:rFonts w:asciiTheme="majorHAnsi" w:hAnsiTheme="majorHAnsi" w:cstheme="majorHAnsi"/>
          <w:sz w:val="28"/>
          <w:szCs w:val="28"/>
          <w:lang w:val="vi-VN"/>
        </w:rPr>
        <w:t xml:space="preserve"> theo quy định của pháp luật về kiểm soát thủ tục hành chính</w:t>
      </w:r>
      <w:r w:rsidR="00C82FB3" w:rsidRPr="0010207E">
        <w:rPr>
          <w:rFonts w:asciiTheme="majorHAnsi" w:hAnsiTheme="majorHAnsi" w:cstheme="majorHAnsi"/>
          <w:sz w:val="28"/>
          <w:szCs w:val="28"/>
        </w:rPr>
        <w:t xml:space="preserve"> ngày </w:t>
      </w:r>
      <w:r w:rsidR="00EE6457" w:rsidRPr="0010207E">
        <w:rPr>
          <w:rFonts w:asciiTheme="majorHAnsi" w:hAnsiTheme="majorHAnsi" w:cstheme="majorHAnsi"/>
          <w:sz w:val="28"/>
          <w:szCs w:val="28"/>
        </w:rPr>
        <w:t>28/6/2024</w:t>
      </w:r>
      <w:r w:rsidR="004D2FAC" w:rsidRPr="0010207E">
        <w:rPr>
          <w:rFonts w:asciiTheme="majorHAnsi" w:hAnsiTheme="majorHAnsi" w:cstheme="majorHAnsi"/>
          <w:sz w:val="28"/>
          <w:szCs w:val="28"/>
        </w:rPr>
        <w:t xml:space="preserve"> </w:t>
      </w:r>
      <w:r w:rsidR="004D2FAC" w:rsidRPr="0010207E">
        <w:rPr>
          <w:rFonts w:asciiTheme="majorHAnsi" w:hAnsiTheme="majorHAnsi" w:cstheme="majorHAnsi"/>
          <w:bCs/>
          <w:iCs/>
          <w:sz w:val="28"/>
          <w:szCs w:val="28"/>
        </w:rPr>
        <w:t>(</w:t>
      </w:r>
      <w:r w:rsidR="002360C0" w:rsidRPr="0010207E">
        <w:rPr>
          <w:rFonts w:asciiTheme="majorHAnsi" w:hAnsiTheme="majorHAnsi" w:cstheme="majorHAnsi"/>
          <w:bCs/>
          <w:iCs/>
          <w:sz w:val="28"/>
          <w:szCs w:val="28"/>
        </w:rPr>
        <w:t>Công văn số 3236/BGDĐT-NGCBQLGD). Đến ngày 13/7/2024, Bộ Giáo dục và Đào tạo đã nhận được ý kiến góp ý của Văn phòng Chính phủ bằng văn bản (Công văn số 4969/VPCP-KSTT ngày 13/7/2024). Trên cơ sở ý kiến góp ý của Văn phòng Chính phủ về quy định TTHC tại Dự thảo Luật, Bộ Giáo dục và Đào tạo đã tiếp thu, giải trình và hoàn thiện Dự thảo Luật đảm bảo quy định.</w:t>
      </w:r>
    </w:p>
    <w:p w14:paraId="221FBCDE" w14:textId="79465F19" w:rsidR="0010207E" w:rsidRPr="0010207E" w:rsidRDefault="00B142A2" w:rsidP="0010207E">
      <w:pPr>
        <w:spacing w:before="60" w:after="60" w:line="360" w:lineRule="exact"/>
        <w:ind w:firstLine="720"/>
        <w:jc w:val="both"/>
        <w:rPr>
          <w:rFonts w:asciiTheme="majorHAnsi" w:hAnsiTheme="majorHAnsi" w:cstheme="majorHAnsi"/>
          <w:sz w:val="28"/>
          <w:szCs w:val="28"/>
          <w:lang w:val="vi-VN"/>
        </w:rPr>
      </w:pPr>
      <w:r w:rsidRPr="0010207E">
        <w:rPr>
          <w:rFonts w:asciiTheme="majorHAnsi" w:hAnsiTheme="majorHAnsi" w:cstheme="majorHAnsi"/>
          <w:sz w:val="28"/>
          <w:szCs w:val="28"/>
          <w:lang w:val="nl-NL"/>
        </w:rPr>
        <w:t xml:space="preserve">Trên đây là Báo cáo đánh giá tác động </w:t>
      </w:r>
      <w:r w:rsidR="00AD7B31" w:rsidRPr="0010207E">
        <w:rPr>
          <w:rFonts w:asciiTheme="majorHAnsi" w:hAnsiTheme="majorHAnsi" w:cstheme="majorHAnsi"/>
          <w:sz w:val="28"/>
          <w:szCs w:val="28"/>
          <w:lang w:val="nl-NL"/>
        </w:rPr>
        <w:t>TTHC</w:t>
      </w:r>
      <w:r w:rsidRPr="0010207E">
        <w:rPr>
          <w:rFonts w:asciiTheme="majorHAnsi" w:hAnsiTheme="majorHAnsi" w:cstheme="majorHAnsi"/>
          <w:sz w:val="28"/>
          <w:szCs w:val="28"/>
          <w:lang w:val="nl-NL"/>
        </w:rPr>
        <w:t xml:space="preserve"> có liên quan đến </w:t>
      </w:r>
      <w:r w:rsidR="00AD7B31" w:rsidRPr="0010207E">
        <w:rPr>
          <w:rFonts w:asciiTheme="majorHAnsi" w:hAnsiTheme="majorHAnsi" w:cstheme="majorHAnsi"/>
          <w:sz w:val="28"/>
          <w:szCs w:val="28"/>
          <w:lang w:val="nl-NL"/>
        </w:rPr>
        <w:t>D</w:t>
      </w:r>
      <w:r w:rsidRPr="0010207E">
        <w:rPr>
          <w:rFonts w:asciiTheme="majorHAnsi" w:hAnsiTheme="majorHAnsi" w:cstheme="majorHAnsi"/>
          <w:sz w:val="28"/>
          <w:szCs w:val="28"/>
          <w:lang w:val="nl-NL"/>
        </w:rPr>
        <w:t xml:space="preserve">ự thảo </w:t>
      </w:r>
      <w:r w:rsidR="00AD7B31" w:rsidRPr="0010207E">
        <w:rPr>
          <w:rFonts w:asciiTheme="majorHAnsi" w:hAnsiTheme="majorHAnsi" w:cstheme="majorHAnsi"/>
          <w:sz w:val="28"/>
          <w:szCs w:val="28"/>
          <w:lang w:val="nl-NL"/>
        </w:rPr>
        <w:t>Luật Nhà giáo</w:t>
      </w:r>
      <w:r w:rsidRPr="0010207E">
        <w:rPr>
          <w:rFonts w:asciiTheme="majorHAnsi" w:hAnsiTheme="majorHAnsi" w:cstheme="majorHAnsi"/>
          <w:sz w:val="28"/>
          <w:szCs w:val="28"/>
          <w:lang w:val="nl-NL"/>
        </w:rPr>
        <w:t>, kính trình Chính phủ xem xét, quyết định./</w:t>
      </w:r>
      <w:r w:rsidR="0010207E" w:rsidRPr="0010207E">
        <w:rPr>
          <w:rFonts w:asciiTheme="majorHAnsi" w:hAnsiTheme="majorHAnsi" w:cstheme="majorHAnsi"/>
          <w:sz w:val="28"/>
          <w:szCs w:val="28"/>
          <w:lang w:val="vi-VN"/>
        </w:rPr>
        <w:t>.</w:t>
      </w:r>
    </w:p>
    <w:p w14:paraId="1BBB47C2" w14:textId="77777777" w:rsidR="0010207E" w:rsidRPr="0010207E" w:rsidRDefault="0010207E" w:rsidP="0010207E">
      <w:pPr>
        <w:spacing w:before="60" w:after="60" w:line="360" w:lineRule="exact"/>
        <w:ind w:firstLine="720"/>
        <w:jc w:val="both"/>
        <w:rPr>
          <w:rFonts w:asciiTheme="majorHAnsi" w:hAnsiTheme="majorHAnsi" w:cstheme="majorHAnsi"/>
          <w:sz w:val="28"/>
          <w:szCs w:val="28"/>
          <w:lang w:val="vi-VN"/>
        </w:rPr>
      </w:pPr>
    </w:p>
    <w:tbl>
      <w:tblPr>
        <w:tblW w:w="9606" w:type="dxa"/>
        <w:tblLook w:val="04A0" w:firstRow="1" w:lastRow="0" w:firstColumn="1" w:lastColumn="0" w:noHBand="0" w:noVBand="1"/>
      </w:tblPr>
      <w:tblGrid>
        <w:gridCol w:w="4111"/>
        <w:gridCol w:w="5495"/>
      </w:tblGrid>
      <w:tr w:rsidR="0010207E" w:rsidRPr="0010207E" w14:paraId="7441538E" w14:textId="77777777" w:rsidTr="0010207E">
        <w:tc>
          <w:tcPr>
            <w:tcW w:w="4111" w:type="dxa"/>
            <w:hideMark/>
          </w:tcPr>
          <w:p w14:paraId="369D5F8D" w14:textId="77777777" w:rsidR="0010207E" w:rsidRPr="0010207E" w:rsidRDefault="0010207E" w:rsidP="0010207E">
            <w:pPr>
              <w:jc w:val="both"/>
              <w:rPr>
                <w:b/>
                <w:i/>
                <w:lang w:val="fi-FI"/>
              </w:rPr>
            </w:pPr>
            <w:r w:rsidRPr="0010207E">
              <w:rPr>
                <w:b/>
                <w:i/>
                <w:lang w:val="fi-FI"/>
              </w:rPr>
              <w:t>Nơi nhận:</w:t>
            </w:r>
          </w:p>
          <w:p w14:paraId="6F260DFB" w14:textId="77777777" w:rsidR="0010207E" w:rsidRPr="0010207E" w:rsidRDefault="0010207E" w:rsidP="0010207E">
            <w:pPr>
              <w:ind w:left="37" w:hanging="142"/>
              <w:jc w:val="both"/>
              <w:rPr>
                <w:sz w:val="22"/>
                <w:szCs w:val="22"/>
                <w:lang w:val="fi-FI"/>
              </w:rPr>
            </w:pPr>
            <w:r w:rsidRPr="0010207E">
              <w:rPr>
                <w:sz w:val="22"/>
                <w:szCs w:val="22"/>
                <w:lang w:val="fi-FI"/>
              </w:rPr>
              <w:t>- Văn phòng Chính phủ (để b/c);</w:t>
            </w:r>
          </w:p>
          <w:p w14:paraId="0B15B607" w14:textId="77777777" w:rsidR="0010207E" w:rsidRPr="0010207E" w:rsidRDefault="0010207E" w:rsidP="0010207E">
            <w:pPr>
              <w:ind w:left="37" w:hanging="142"/>
              <w:jc w:val="both"/>
              <w:rPr>
                <w:sz w:val="22"/>
                <w:szCs w:val="22"/>
                <w:lang w:val="fi-FI"/>
              </w:rPr>
            </w:pPr>
            <w:r w:rsidRPr="0010207E">
              <w:rPr>
                <w:sz w:val="22"/>
                <w:szCs w:val="22"/>
                <w:lang w:val="fi-FI"/>
              </w:rPr>
              <w:t>- Bộ Tư pháp (để thẩm định);</w:t>
            </w:r>
          </w:p>
          <w:p w14:paraId="5AF4EE21" w14:textId="0E5A06C0" w:rsidR="0010207E" w:rsidRPr="0010207E" w:rsidRDefault="0010207E" w:rsidP="0010207E">
            <w:pPr>
              <w:ind w:left="37" w:hanging="142"/>
              <w:jc w:val="both"/>
              <w:rPr>
                <w:sz w:val="22"/>
                <w:szCs w:val="22"/>
                <w:lang w:val="fi-FI"/>
              </w:rPr>
            </w:pPr>
            <w:r w:rsidRPr="0010207E">
              <w:rPr>
                <w:sz w:val="22"/>
                <w:szCs w:val="22"/>
                <w:lang w:val="fi-FI"/>
              </w:rPr>
              <w:t xml:space="preserve">- </w:t>
            </w:r>
            <w:r w:rsidR="009E729A">
              <w:rPr>
                <w:sz w:val="22"/>
                <w:szCs w:val="22"/>
                <w:lang w:val="vi-VN"/>
              </w:rPr>
              <w:t>Bộ</w:t>
            </w:r>
            <w:r w:rsidRPr="0010207E">
              <w:rPr>
                <w:sz w:val="22"/>
                <w:szCs w:val="22"/>
                <w:lang w:val="fi-FI"/>
              </w:rPr>
              <w:t xml:space="preserve"> trưởng (để </w:t>
            </w:r>
            <w:r w:rsidR="009E729A">
              <w:rPr>
                <w:sz w:val="22"/>
                <w:szCs w:val="22"/>
                <w:lang w:val="vi-VN"/>
              </w:rPr>
              <w:t>b/c</w:t>
            </w:r>
            <w:r w:rsidRPr="0010207E">
              <w:rPr>
                <w:sz w:val="22"/>
                <w:szCs w:val="22"/>
                <w:lang w:val="fi-FI"/>
              </w:rPr>
              <w:t>);</w:t>
            </w:r>
          </w:p>
          <w:p w14:paraId="01603BB0" w14:textId="77777777" w:rsidR="0010207E" w:rsidRPr="0010207E" w:rsidRDefault="0010207E" w:rsidP="0010207E">
            <w:pPr>
              <w:ind w:left="37" w:hanging="142"/>
              <w:jc w:val="both"/>
              <w:rPr>
                <w:b/>
                <w:i/>
                <w:u w:val="single"/>
                <w:lang w:val="fi-FI"/>
              </w:rPr>
            </w:pPr>
            <w:r w:rsidRPr="0010207E">
              <w:rPr>
                <w:sz w:val="22"/>
                <w:szCs w:val="22"/>
                <w:lang w:val="fi-FI"/>
              </w:rPr>
              <w:t>- Lưu: VT, NGCBQLGD.</w:t>
            </w:r>
          </w:p>
        </w:tc>
        <w:tc>
          <w:tcPr>
            <w:tcW w:w="5495" w:type="dxa"/>
          </w:tcPr>
          <w:p w14:paraId="63DE7E4A" w14:textId="7F49A26C" w:rsidR="0010207E" w:rsidRPr="0010207E" w:rsidRDefault="009E729A" w:rsidP="009E729A">
            <w:pPr>
              <w:jc w:val="center"/>
              <w:rPr>
                <w:b/>
                <w:sz w:val="28"/>
                <w:szCs w:val="28"/>
                <w:lang w:val="fi-FI"/>
              </w:rPr>
            </w:pPr>
            <w:r>
              <w:rPr>
                <w:b/>
                <w:sz w:val="28"/>
                <w:szCs w:val="28"/>
                <w:lang w:val="vi-VN"/>
              </w:rPr>
              <w:t xml:space="preserve">KT. </w:t>
            </w:r>
            <w:r w:rsidR="0010207E" w:rsidRPr="0010207E">
              <w:rPr>
                <w:b/>
                <w:sz w:val="28"/>
                <w:szCs w:val="28"/>
                <w:lang w:val="fi-FI"/>
              </w:rPr>
              <w:t>BỘ TRƯỞNG</w:t>
            </w:r>
          </w:p>
          <w:p w14:paraId="699FD54B" w14:textId="03A6BB21" w:rsidR="0010207E" w:rsidRPr="009E729A" w:rsidRDefault="009E729A" w:rsidP="009E729A">
            <w:pPr>
              <w:jc w:val="center"/>
              <w:rPr>
                <w:b/>
                <w:sz w:val="28"/>
                <w:szCs w:val="28"/>
                <w:lang w:val="vi-VN"/>
              </w:rPr>
            </w:pPr>
            <w:r>
              <w:rPr>
                <w:b/>
                <w:sz w:val="28"/>
                <w:szCs w:val="28"/>
                <w:lang w:val="vi-VN"/>
              </w:rPr>
              <w:t>THỨ TRƯỞNG</w:t>
            </w:r>
          </w:p>
          <w:p w14:paraId="33C67F94" w14:textId="77777777" w:rsidR="0010207E" w:rsidRPr="0010207E" w:rsidRDefault="0010207E" w:rsidP="009E729A">
            <w:pPr>
              <w:jc w:val="center"/>
              <w:rPr>
                <w:b/>
                <w:sz w:val="28"/>
                <w:szCs w:val="28"/>
                <w:lang w:val="fi-FI"/>
              </w:rPr>
            </w:pPr>
          </w:p>
          <w:p w14:paraId="611928BB" w14:textId="42FABF19" w:rsidR="0010207E" w:rsidRPr="0010207E" w:rsidRDefault="0010207E" w:rsidP="009E729A">
            <w:pPr>
              <w:jc w:val="center"/>
              <w:rPr>
                <w:b/>
                <w:sz w:val="28"/>
                <w:szCs w:val="28"/>
                <w:lang w:val="fi-FI"/>
              </w:rPr>
            </w:pPr>
          </w:p>
          <w:p w14:paraId="1D3C7137" w14:textId="05AFD0C6" w:rsidR="0010207E" w:rsidRDefault="0010207E" w:rsidP="009E729A">
            <w:pPr>
              <w:rPr>
                <w:b/>
                <w:sz w:val="28"/>
                <w:szCs w:val="28"/>
                <w:lang w:val="fi-FI"/>
              </w:rPr>
            </w:pPr>
          </w:p>
          <w:p w14:paraId="44E8F1A7" w14:textId="77777777" w:rsidR="009E729A" w:rsidRPr="0010207E" w:rsidRDefault="009E729A" w:rsidP="009E729A">
            <w:pPr>
              <w:rPr>
                <w:b/>
                <w:sz w:val="28"/>
                <w:szCs w:val="28"/>
                <w:lang w:val="fi-FI"/>
              </w:rPr>
            </w:pPr>
          </w:p>
          <w:p w14:paraId="32D0184F" w14:textId="3A9ED555" w:rsidR="0010207E" w:rsidRPr="009E729A" w:rsidRDefault="009E729A" w:rsidP="009E729A">
            <w:pPr>
              <w:jc w:val="center"/>
              <w:rPr>
                <w:b/>
                <w:lang w:val="vi-VN"/>
              </w:rPr>
            </w:pPr>
            <w:r>
              <w:rPr>
                <w:b/>
                <w:sz w:val="28"/>
                <w:lang w:val="vi-VN"/>
              </w:rPr>
              <w:t>Phạm Ngọc Thưởng</w:t>
            </w:r>
          </w:p>
        </w:tc>
      </w:tr>
    </w:tbl>
    <w:p w14:paraId="512B1909" w14:textId="4C277E29" w:rsidR="00AD7B31" w:rsidRPr="0010207E" w:rsidRDefault="00AD7B31" w:rsidP="00AD7B31">
      <w:pPr>
        <w:spacing w:before="240"/>
        <w:rPr>
          <w:rFonts w:asciiTheme="majorHAnsi" w:hAnsiTheme="majorHAnsi" w:cstheme="majorHAnsi"/>
          <w:sz w:val="28"/>
          <w:szCs w:val="28"/>
        </w:rPr>
      </w:pPr>
    </w:p>
    <w:p w14:paraId="50B89E5D" w14:textId="33BF68FA" w:rsidR="00532638" w:rsidRPr="0010207E" w:rsidRDefault="00532638" w:rsidP="00AD7B31">
      <w:pPr>
        <w:spacing w:before="240"/>
        <w:rPr>
          <w:rFonts w:asciiTheme="majorHAnsi" w:hAnsiTheme="majorHAnsi" w:cstheme="majorHAnsi"/>
          <w:sz w:val="28"/>
          <w:szCs w:val="28"/>
        </w:rPr>
      </w:pPr>
    </w:p>
    <w:sectPr w:rsidR="00532638" w:rsidRPr="0010207E" w:rsidSect="0010207E">
      <w:headerReference w:type="default" r:id="rId11"/>
      <w:footerReference w:type="even" r:id="rId12"/>
      <w:headerReference w:type="first" r:id="rId13"/>
      <w:pgSz w:w="11909" w:h="16834" w:code="9"/>
      <w:pgMar w:top="1134" w:right="1134" w:bottom="1134" w:left="1134" w:header="567" w:footer="284"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1D2B8D" w16cex:dateUtc="2024-07-02T0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16257" w14:textId="77777777" w:rsidR="00FF6A9A" w:rsidRDefault="00FF6A9A">
      <w:r>
        <w:separator/>
      </w:r>
    </w:p>
  </w:endnote>
  <w:endnote w:type="continuationSeparator" w:id="0">
    <w:p w14:paraId="1EC78C27" w14:textId="77777777" w:rsidR="00FF6A9A" w:rsidRDefault="00FF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51B5" w14:textId="77777777" w:rsidR="007C53DF" w:rsidRDefault="007C53DF" w:rsidP="00A60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FA3EA9" w14:textId="77777777" w:rsidR="007C53DF" w:rsidRDefault="007C5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98061" w14:textId="77777777" w:rsidR="00FF6A9A" w:rsidRDefault="00FF6A9A">
      <w:r>
        <w:separator/>
      </w:r>
    </w:p>
  </w:footnote>
  <w:footnote w:type="continuationSeparator" w:id="0">
    <w:p w14:paraId="1784569D" w14:textId="77777777" w:rsidR="00FF6A9A" w:rsidRDefault="00FF6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7610162"/>
      <w:docPartObj>
        <w:docPartGallery w:val="Page Numbers (Top of Page)"/>
        <w:docPartUnique/>
      </w:docPartObj>
    </w:sdtPr>
    <w:sdtEndPr>
      <w:rPr>
        <w:noProof/>
        <w:sz w:val="28"/>
        <w:szCs w:val="28"/>
      </w:rPr>
    </w:sdtEndPr>
    <w:sdtContent>
      <w:p w14:paraId="0AEA8418" w14:textId="77777777" w:rsidR="00702A8F" w:rsidRPr="0010207E" w:rsidRDefault="00702A8F" w:rsidP="00702A8F">
        <w:pPr>
          <w:pStyle w:val="Header"/>
          <w:jc w:val="center"/>
          <w:rPr>
            <w:sz w:val="28"/>
            <w:szCs w:val="28"/>
          </w:rPr>
        </w:pPr>
        <w:r w:rsidRPr="0010207E">
          <w:rPr>
            <w:sz w:val="28"/>
            <w:szCs w:val="28"/>
          </w:rPr>
          <w:fldChar w:fldCharType="begin"/>
        </w:r>
        <w:r w:rsidRPr="0010207E">
          <w:rPr>
            <w:sz w:val="28"/>
            <w:szCs w:val="28"/>
          </w:rPr>
          <w:instrText xml:space="preserve"> PAGE   \* MERGEFORMAT </w:instrText>
        </w:r>
        <w:r w:rsidRPr="0010207E">
          <w:rPr>
            <w:sz w:val="28"/>
            <w:szCs w:val="28"/>
          </w:rPr>
          <w:fldChar w:fldCharType="separate"/>
        </w:r>
        <w:r w:rsidRPr="0010207E">
          <w:rPr>
            <w:noProof/>
            <w:sz w:val="28"/>
            <w:szCs w:val="28"/>
          </w:rPr>
          <w:t>2</w:t>
        </w:r>
        <w:r w:rsidRPr="0010207E">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36871" w14:textId="6EF07A9F" w:rsidR="0010207E" w:rsidRDefault="0010207E">
    <w:pPr>
      <w:pStyle w:val="Header"/>
      <w:jc w:val="center"/>
    </w:pPr>
  </w:p>
  <w:p w14:paraId="5656CC9D" w14:textId="77777777" w:rsidR="0010207E" w:rsidRDefault="001020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609AE"/>
    <w:multiLevelType w:val="hybridMultilevel"/>
    <w:tmpl w:val="532C164A"/>
    <w:lvl w:ilvl="0" w:tplc="D9DEC26E">
      <w:start w:val="1"/>
      <w:numFmt w:val="decimal"/>
      <w:lvlText w:val="%1."/>
      <w:lvlJc w:val="left"/>
      <w:pPr>
        <w:ind w:left="1710" w:hanging="990"/>
      </w:pPr>
      <w:rPr>
        <w:rFonts w:ascii="Times New Roman" w:eastAsia="Times New Roman" w:hAnsi="Times New Roman" w:cs="Times New Roman"/>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A230C0"/>
    <w:multiLevelType w:val="multilevel"/>
    <w:tmpl w:val="28B4F1AA"/>
    <w:lvl w:ilvl="0">
      <w:start w:val="1"/>
      <w:numFmt w:val="decimal"/>
      <w:lvlText w:val="%1."/>
      <w:lvlJc w:val="left"/>
      <w:pPr>
        <w:ind w:left="2070" w:hanging="360"/>
      </w:pPr>
      <w:rPr>
        <w:rFonts w:hint="default"/>
      </w:rPr>
    </w:lvl>
    <w:lvl w:ilvl="1">
      <w:start w:val="4"/>
      <w:numFmt w:val="decimal"/>
      <w:isLgl/>
      <w:lvlText w:val="%1.%2."/>
      <w:lvlJc w:val="left"/>
      <w:pPr>
        <w:ind w:left="243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870" w:hanging="2160"/>
      </w:pPr>
      <w:rPr>
        <w:rFonts w:hint="default"/>
      </w:rPr>
    </w:lvl>
  </w:abstractNum>
  <w:abstractNum w:abstractNumId="2" w15:restartNumberingAfterBreak="0">
    <w:nsid w:val="191855FC"/>
    <w:multiLevelType w:val="hybridMultilevel"/>
    <w:tmpl w:val="776CE9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A405B"/>
    <w:multiLevelType w:val="hybridMultilevel"/>
    <w:tmpl w:val="0E648DB0"/>
    <w:lvl w:ilvl="0" w:tplc="5C4C65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B62E6A"/>
    <w:multiLevelType w:val="hybridMultilevel"/>
    <w:tmpl w:val="85E646A2"/>
    <w:lvl w:ilvl="0" w:tplc="9FECD30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8B21429"/>
    <w:multiLevelType w:val="multilevel"/>
    <w:tmpl w:val="21287EF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518B0020"/>
    <w:multiLevelType w:val="hybridMultilevel"/>
    <w:tmpl w:val="D6DC2F76"/>
    <w:lvl w:ilvl="0" w:tplc="25CC6C5E">
      <w:start w:val="1"/>
      <w:numFmt w:val="upperRoman"/>
      <w:lvlText w:val="%1."/>
      <w:lvlJc w:val="left"/>
      <w:pPr>
        <w:ind w:left="1710" w:hanging="990"/>
      </w:pPr>
      <w:rPr>
        <w:rFonts w:hint="default"/>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5D934D9"/>
    <w:multiLevelType w:val="hybridMultilevel"/>
    <w:tmpl w:val="EB78F92C"/>
    <w:lvl w:ilvl="0" w:tplc="BF1636F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87963E2"/>
    <w:multiLevelType w:val="hybridMultilevel"/>
    <w:tmpl w:val="179AB22E"/>
    <w:lvl w:ilvl="0" w:tplc="D4D23C1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6691125E"/>
    <w:multiLevelType w:val="hybridMultilevel"/>
    <w:tmpl w:val="88521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E4108A"/>
    <w:multiLevelType w:val="hybridMultilevel"/>
    <w:tmpl w:val="2158ABD4"/>
    <w:lvl w:ilvl="0" w:tplc="7A38356E">
      <w:start w:val="19"/>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4CF06C5"/>
    <w:multiLevelType w:val="hybridMultilevel"/>
    <w:tmpl w:val="6B54FE0C"/>
    <w:lvl w:ilvl="0" w:tplc="DBD2C0A0">
      <w:start w:val="18"/>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BD57C91"/>
    <w:multiLevelType w:val="hybridMultilevel"/>
    <w:tmpl w:val="39A26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0"/>
  </w:num>
  <w:num w:numId="5">
    <w:abstractNumId w:val="5"/>
  </w:num>
  <w:num w:numId="6">
    <w:abstractNumId w:val="2"/>
  </w:num>
  <w:num w:numId="7">
    <w:abstractNumId w:val="4"/>
  </w:num>
  <w:num w:numId="8">
    <w:abstractNumId w:val="3"/>
  </w:num>
  <w:num w:numId="9">
    <w:abstractNumId w:val="10"/>
  </w:num>
  <w:num w:numId="10">
    <w:abstractNumId w:val="11"/>
  </w:num>
  <w:num w:numId="11">
    <w:abstractNumId w:val="1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353"/>
    <w:rsid w:val="000113A3"/>
    <w:rsid w:val="00012BC9"/>
    <w:rsid w:val="0001652F"/>
    <w:rsid w:val="00026001"/>
    <w:rsid w:val="00044C6B"/>
    <w:rsid w:val="00046A05"/>
    <w:rsid w:val="00052547"/>
    <w:rsid w:val="00052EC8"/>
    <w:rsid w:val="0005646A"/>
    <w:rsid w:val="00071B12"/>
    <w:rsid w:val="00081EA6"/>
    <w:rsid w:val="0008336A"/>
    <w:rsid w:val="00090843"/>
    <w:rsid w:val="000927B1"/>
    <w:rsid w:val="000940D6"/>
    <w:rsid w:val="000B1D4B"/>
    <w:rsid w:val="000B6AC4"/>
    <w:rsid w:val="000C018A"/>
    <w:rsid w:val="000C6C47"/>
    <w:rsid w:val="000D4066"/>
    <w:rsid w:val="000D6F1B"/>
    <w:rsid w:val="000E61BD"/>
    <w:rsid w:val="000E7DA9"/>
    <w:rsid w:val="0010207E"/>
    <w:rsid w:val="001111C4"/>
    <w:rsid w:val="001341FD"/>
    <w:rsid w:val="00140A5B"/>
    <w:rsid w:val="00144B94"/>
    <w:rsid w:val="001450FC"/>
    <w:rsid w:val="00147B61"/>
    <w:rsid w:val="00151DB9"/>
    <w:rsid w:val="00152B92"/>
    <w:rsid w:val="001572C5"/>
    <w:rsid w:val="00163CEE"/>
    <w:rsid w:val="0017232D"/>
    <w:rsid w:val="00173D90"/>
    <w:rsid w:val="00176382"/>
    <w:rsid w:val="00182439"/>
    <w:rsid w:val="00186801"/>
    <w:rsid w:val="001A0CA8"/>
    <w:rsid w:val="001A107E"/>
    <w:rsid w:val="001A6017"/>
    <w:rsid w:val="001B6C65"/>
    <w:rsid w:val="001C069D"/>
    <w:rsid w:val="001C174F"/>
    <w:rsid w:val="001C4873"/>
    <w:rsid w:val="001C4B3A"/>
    <w:rsid w:val="001D4B2C"/>
    <w:rsid w:val="001E3BF1"/>
    <w:rsid w:val="001E7A52"/>
    <w:rsid w:val="00206ADB"/>
    <w:rsid w:val="00221744"/>
    <w:rsid w:val="00233071"/>
    <w:rsid w:val="002360C0"/>
    <w:rsid w:val="002367D4"/>
    <w:rsid w:val="00244DC1"/>
    <w:rsid w:val="00250004"/>
    <w:rsid w:val="00252CD5"/>
    <w:rsid w:val="0026017F"/>
    <w:rsid w:val="00262076"/>
    <w:rsid w:val="00266665"/>
    <w:rsid w:val="00275F76"/>
    <w:rsid w:val="00280CD1"/>
    <w:rsid w:val="00292E8A"/>
    <w:rsid w:val="002A668C"/>
    <w:rsid w:val="002B6711"/>
    <w:rsid w:val="002D3B18"/>
    <w:rsid w:val="002E53F4"/>
    <w:rsid w:val="002E6AEB"/>
    <w:rsid w:val="002F1527"/>
    <w:rsid w:val="002F5383"/>
    <w:rsid w:val="003025F0"/>
    <w:rsid w:val="00307AD1"/>
    <w:rsid w:val="00313A0C"/>
    <w:rsid w:val="003140A5"/>
    <w:rsid w:val="00317F6A"/>
    <w:rsid w:val="003203CC"/>
    <w:rsid w:val="003372C7"/>
    <w:rsid w:val="00337B79"/>
    <w:rsid w:val="00340EB4"/>
    <w:rsid w:val="003437AE"/>
    <w:rsid w:val="00350BB8"/>
    <w:rsid w:val="00357DD3"/>
    <w:rsid w:val="00361172"/>
    <w:rsid w:val="003614BE"/>
    <w:rsid w:val="00370F98"/>
    <w:rsid w:val="00376B56"/>
    <w:rsid w:val="003810BF"/>
    <w:rsid w:val="00382184"/>
    <w:rsid w:val="003A50A1"/>
    <w:rsid w:val="003C5F6F"/>
    <w:rsid w:val="003D0A2E"/>
    <w:rsid w:val="003D3664"/>
    <w:rsid w:val="003E24B3"/>
    <w:rsid w:val="003E7293"/>
    <w:rsid w:val="00410F37"/>
    <w:rsid w:val="004117AB"/>
    <w:rsid w:val="00416EFA"/>
    <w:rsid w:val="004173B0"/>
    <w:rsid w:val="004215B4"/>
    <w:rsid w:val="00424BD4"/>
    <w:rsid w:val="00430855"/>
    <w:rsid w:val="004364E1"/>
    <w:rsid w:val="004414DE"/>
    <w:rsid w:val="00443E15"/>
    <w:rsid w:val="00446C2F"/>
    <w:rsid w:val="00446CCA"/>
    <w:rsid w:val="0045077E"/>
    <w:rsid w:val="0045171F"/>
    <w:rsid w:val="00452235"/>
    <w:rsid w:val="0045665C"/>
    <w:rsid w:val="0046430D"/>
    <w:rsid w:val="00485C56"/>
    <w:rsid w:val="00486B6F"/>
    <w:rsid w:val="00486E25"/>
    <w:rsid w:val="004874E3"/>
    <w:rsid w:val="00491181"/>
    <w:rsid w:val="00494A98"/>
    <w:rsid w:val="004A78CD"/>
    <w:rsid w:val="004B1992"/>
    <w:rsid w:val="004C024B"/>
    <w:rsid w:val="004C17BE"/>
    <w:rsid w:val="004D2FAC"/>
    <w:rsid w:val="004D3E71"/>
    <w:rsid w:val="004D4116"/>
    <w:rsid w:val="004D4B90"/>
    <w:rsid w:val="004E7149"/>
    <w:rsid w:val="00500EDC"/>
    <w:rsid w:val="005019BE"/>
    <w:rsid w:val="00511F03"/>
    <w:rsid w:val="0053102B"/>
    <w:rsid w:val="00532638"/>
    <w:rsid w:val="00537556"/>
    <w:rsid w:val="00544587"/>
    <w:rsid w:val="00561CCE"/>
    <w:rsid w:val="00581484"/>
    <w:rsid w:val="00584EE7"/>
    <w:rsid w:val="005A118F"/>
    <w:rsid w:val="005A2620"/>
    <w:rsid w:val="005A6B4A"/>
    <w:rsid w:val="005A7364"/>
    <w:rsid w:val="005C5C15"/>
    <w:rsid w:val="005D2D76"/>
    <w:rsid w:val="005D4391"/>
    <w:rsid w:val="005F6A87"/>
    <w:rsid w:val="00600E63"/>
    <w:rsid w:val="00602C7D"/>
    <w:rsid w:val="00606105"/>
    <w:rsid w:val="00612199"/>
    <w:rsid w:val="00614D9E"/>
    <w:rsid w:val="0062421F"/>
    <w:rsid w:val="006423BD"/>
    <w:rsid w:val="0064507E"/>
    <w:rsid w:val="00646CFF"/>
    <w:rsid w:val="00647D99"/>
    <w:rsid w:val="00653E8F"/>
    <w:rsid w:val="00653F23"/>
    <w:rsid w:val="00654BF1"/>
    <w:rsid w:val="00654DEE"/>
    <w:rsid w:val="00655BE4"/>
    <w:rsid w:val="006621BD"/>
    <w:rsid w:val="00672744"/>
    <w:rsid w:val="0067475A"/>
    <w:rsid w:val="006757FC"/>
    <w:rsid w:val="00676667"/>
    <w:rsid w:val="006A0C86"/>
    <w:rsid w:val="006A35A2"/>
    <w:rsid w:val="006A6A22"/>
    <w:rsid w:val="006B1FEF"/>
    <w:rsid w:val="006B626B"/>
    <w:rsid w:val="006D5A4D"/>
    <w:rsid w:val="006D6E6A"/>
    <w:rsid w:val="006E0CC8"/>
    <w:rsid w:val="006E2A7C"/>
    <w:rsid w:val="006F24E2"/>
    <w:rsid w:val="006F3B19"/>
    <w:rsid w:val="006F759D"/>
    <w:rsid w:val="00702A8F"/>
    <w:rsid w:val="0070690C"/>
    <w:rsid w:val="007108EE"/>
    <w:rsid w:val="00712411"/>
    <w:rsid w:val="007129AD"/>
    <w:rsid w:val="00722D84"/>
    <w:rsid w:val="00723C80"/>
    <w:rsid w:val="00727C0D"/>
    <w:rsid w:val="00733F87"/>
    <w:rsid w:val="007342F8"/>
    <w:rsid w:val="00750EAC"/>
    <w:rsid w:val="007771E0"/>
    <w:rsid w:val="007A0EA5"/>
    <w:rsid w:val="007B0894"/>
    <w:rsid w:val="007C2FC6"/>
    <w:rsid w:val="007C3E48"/>
    <w:rsid w:val="007C53DF"/>
    <w:rsid w:val="007C6599"/>
    <w:rsid w:val="007C717E"/>
    <w:rsid w:val="007D1358"/>
    <w:rsid w:val="007D1AAB"/>
    <w:rsid w:val="007E6091"/>
    <w:rsid w:val="007E7BBD"/>
    <w:rsid w:val="007F1E1A"/>
    <w:rsid w:val="007F25A9"/>
    <w:rsid w:val="007F3B2F"/>
    <w:rsid w:val="008077E7"/>
    <w:rsid w:val="0081135D"/>
    <w:rsid w:val="008125F0"/>
    <w:rsid w:val="008205FF"/>
    <w:rsid w:val="0082068E"/>
    <w:rsid w:val="00825F00"/>
    <w:rsid w:val="008354D5"/>
    <w:rsid w:val="00843742"/>
    <w:rsid w:val="0084396C"/>
    <w:rsid w:val="00855860"/>
    <w:rsid w:val="00857AFA"/>
    <w:rsid w:val="00860766"/>
    <w:rsid w:val="008610B2"/>
    <w:rsid w:val="00872058"/>
    <w:rsid w:val="00872A1D"/>
    <w:rsid w:val="00874E3F"/>
    <w:rsid w:val="008758CE"/>
    <w:rsid w:val="00876BF2"/>
    <w:rsid w:val="00877750"/>
    <w:rsid w:val="00883E16"/>
    <w:rsid w:val="00895A48"/>
    <w:rsid w:val="008A30FB"/>
    <w:rsid w:val="008A4183"/>
    <w:rsid w:val="008B0A48"/>
    <w:rsid w:val="008B63E0"/>
    <w:rsid w:val="008C2364"/>
    <w:rsid w:val="008D2DE9"/>
    <w:rsid w:val="008E3CE4"/>
    <w:rsid w:val="008E50C9"/>
    <w:rsid w:val="008F7BD5"/>
    <w:rsid w:val="00906AD9"/>
    <w:rsid w:val="009074D9"/>
    <w:rsid w:val="00910AAE"/>
    <w:rsid w:val="009127E9"/>
    <w:rsid w:val="00914D8D"/>
    <w:rsid w:val="0092671B"/>
    <w:rsid w:val="0093128A"/>
    <w:rsid w:val="00931D4A"/>
    <w:rsid w:val="00932893"/>
    <w:rsid w:val="009378C7"/>
    <w:rsid w:val="00943474"/>
    <w:rsid w:val="009537E4"/>
    <w:rsid w:val="009543F0"/>
    <w:rsid w:val="0097207C"/>
    <w:rsid w:val="00975F23"/>
    <w:rsid w:val="009761DD"/>
    <w:rsid w:val="00976F9E"/>
    <w:rsid w:val="009846F4"/>
    <w:rsid w:val="00985378"/>
    <w:rsid w:val="009937C8"/>
    <w:rsid w:val="00994A4B"/>
    <w:rsid w:val="009B3534"/>
    <w:rsid w:val="009C2120"/>
    <w:rsid w:val="009D0341"/>
    <w:rsid w:val="009D25F2"/>
    <w:rsid w:val="009E0D17"/>
    <w:rsid w:val="009E0DD4"/>
    <w:rsid w:val="009E729A"/>
    <w:rsid w:val="009F2CC0"/>
    <w:rsid w:val="009F37D0"/>
    <w:rsid w:val="009F72BC"/>
    <w:rsid w:val="00A0000E"/>
    <w:rsid w:val="00A31EF3"/>
    <w:rsid w:val="00A3373D"/>
    <w:rsid w:val="00A40B39"/>
    <w:rsid w:val="00A41264"/>
    <w:rsid w:val="00A44301"/>
    <w:rsid w:val="00A46351"/>
    <w:rsid w:val="00A57FAC"/>
    <w:rsid w:val="00A60C46"/>
    <w:rsid w:val="00A70434"/>
    <w:rsid w:val="00A734A9"/>
    <w:rsid w:val="00A76D78"/>
    <w:rsid w:val="00A94406"/>
    <w:rsid w:val="00AA0074"/>
    <w:rsid w:val="00AA2CA1"/>
    <w:rsid w:val="00AA49D8"/>
    <w:rsid w:val="00AB45CC"/>
    <w:rsid w:val="00AC4E49"/>
    <w:rsid w:val="00AD2CED"/>
    <w:rsid w:val="00AD410C"/>
    <w:rsid w:val="00AD6A6E"/>
    <w:rsid w:val="00AD7B31"/>
    <w:rsid w:val="00AE38A4"/>
    <w:rsid w:val="00AE61E6"/>
    <w:rsid w:val="00B0092A"/>
    <w:rsid w:val="00B11074"/>
    <w:rsid w:val="00B142A2"/>
    <w:rsid w:val="00B202A4"/>
    <w:rsid w:val="00B34388"/>
    <w:rsid w:val="00B46B75"/>
    <w:rsid w:val="00B60EF1"/>
    <w:rsid w:val="00B619CD"/>
    <w:rsid w:val="00B61A40"/>
    <w:rsid w:val="00B72012"/>
    <w:rsid w:val="00B9140B"/>
    <w:rsid w:val="00B97286"/>
    <w:rsid w:val="00BA284C"/>
    <w:rsid w:val="00BB1195"/>
    <w:rsid w:val="00BB2110"/>
    <w:rsid w:val="00BC02E1"/>
    <w:rsid w:val="00BC122C"/>
    <w:rsid w:val="00BC375B"/>
    <w:rsid w:val="00BC3A19"/>
    <w:rsid w:val="00BC3D9D"/>
    <w:rsid w:val="00BC4D67"/>
    <w:rsid w:val="00BE179A"/>
    <w:rsid w:val="00BF0258"/>
    <w:rsid w:val="00BF4EC5"/>
    <w:rsid w:val="00C026C9"/>
    <w:rsid w:val="00C02776"/>
    <w:rsid w:val="00C0482B"/>
    <w:rsid w:val="00C101E6"/>
    <w:rsid w:val="00C10221"/>
    <w:rsid w:val="00C1630E"/>
    <w:rsid w:val="00C17CBB"/>
    <w:rsid w:val="00C35EF4"/>
    <w:rsid w:val="00C41463"/>
    <w:rsid w:val="00C420C3"/>
    <w:rsid w:val="00C473FB"/>
    <w:rsid w:val="00C626C0"/>
    <w:rsid w:val="00C64A35"/>
    <w:rsid w:val="00C65DA6"/>
    <w:rsid w:val="00C70111"/>
    <w:rsid w:val="00C732F3"/>
    <w:rsid w:val="00C761D2"/>
    <w:rsid w:val="00C80F00"/>
    <w:rsid w:val="00C82FB3"/>
    <w:rsid w:val="00C85B2A"/>
    <w:rsid w:val="00C8623A"/>
    <w:rsid w:val="00C91875"/>
    <w:rsid w:val="00CA2323"/>
    <w:rsid w:val="00CA622A"/>
    <w:rsid w:val="00CB2E59"/>
    <w:rsid w:val="00CC196D"/>
    <w:rsid w:val="00CC322E"/>
    <w:rsid w:val="00CC6EAB"/>
    <w:rsid w:val="00CD6208"/>
    <w:rsid w:val="00CE3900"/>
    <w:rsid w:val="00CF1B64"/>
    <w:rsid w:val="00CF7EF0"/>
    <w:rsid w:val="00D10309"/>
    <w:rsid w:val="00D11706"/>
    <w:rsid w:val="00D12CA9"/>
    <w:rsid w:val="00D12DF5"/>
    <w:rsid w:val="00D13D53"/>
    <w:rsid w:val="00D14B27"/>
    <w:rsid w:val="00D20221"/>
    <w:rsid w:val="00D31F5C"/>
    <w:rsid w:val="00D43BDB"/>
    <w:rsid w:val="00D456F2"/>
    <w:rsid w:val="00D509C3"/>
    <w:rsid w:val="00D64F82"/>
    <w:rsid w:val="00D66FAB"/>
    <w:rsid w:val="00D72DDA"/>
    <w:rsid w:val="00D80364"/>
    <w:rsid w:val="00D86229"/>
    <w:rsid w:val="00D867D8"/>
    <w:rsid w:val="00D93C9C"/>
    <w:rsid w:val="00DA563E"/>
    <w:rsid w:val="00DB2D83"/>
    <w:rsid w:val="00DB4E40"/>
    <w:rsid w:val="00DB5D89"/>
    <w:rsid w:val="00DC37CB"/>
    <w:rsid w:val="00DD2E53"/>
    <w:rsid w:val="00DE602C"/>
    <w:rsid w:val="00DE70B3"/>
    <w:rsid w:val="00DF178A"/>
    <w:rsid w:val="00DF6658"/>
    <w:rsid w:val="00E00014"/>
    <w:rsid w:val="00E03608"/>
    <w:rsid w:val="00E13029"/>
    <w:rsid w:val="00E23529"/>
    <w:rsid w:val="00E25612"/>
    <w:rsid w:val="00E36F6A"/>
    <w:rsid w:val="00E43077"/>
    <w:rsid w:val="00E60ECB"/>
    <w:rsid w:val="00E67E67"/>
    <w:rsid w:val="00E730F2"/>
    <w:rsid w:val="00E73353"/>
    <w:rsid w:val="00E810FF"/>
    <w:rsid w:val="00E8111B"/>
    <w:rsid w:val="00E82BC3"/>
    <w:rsid w:val="00E85314"/>
    <w:rsid w:val="00EA1939"/>
    <w:rsid w:val="00EA495A"/>
    <w:rsid w:val="00ED047D"/>
    <w:rsid w:val="00ED72A2"/>
    <w:rsid w:val="00EE00CC"/>
    <w:rsid w:val="00EE44DA"/>
    <w:rsid w:val="00EE6457"/>
    <w:rsid w:val="00EE789F"/>
    <w:rsid w:val="00EF14AA"/>
    <w:rsid w:val="00EF4789"/>
    <w:rsid w:val="00F00A21"/>
    <w:rsid w:val="00F02085"/>
    <w:rsid w:val="00F02856"/>
    <w:rsid w:val="00F07D1C"/>
    <w:rsid w:val="00F15164"/>
    <w:rsid w:val="00F17083"/>
    <w:rsid w:val="00F253C7"/>
    <w:rsid w:val="00F42458"/>
    <w:rsid w:val="00F62D47"/>
    <w:rsid w:val="00F63335"/>
    <w:rsid w:val="00F759D0"/>
    <w:rsid w:val="00F80784"/>
    <w:rsid w:val="00F95BD1"/>
    <w:rsid w:val="00FB3159"/>
    <w:rsid w:val="00FB529C"/>
    <w:rsid w:val="00FC11D2"/>
    <w:rsid w:val="00FD4A74"/>
    <w:rsid w:val="00FD4F8A"/>
    <w:rsid w:val="00FE19DB"/>
    <w:rsid w:val="00FE4C92"/>
    <w:rsid w:val="00FE5B9D"/>
    <w:rsid w:val="00FF6A9A"/>
    <w:rsid w:val="00FF7D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69905"/>
  <w15:chartTrackingRefBased/>
  <w15:docId w15:val="{64A53A97-345C-4D03-9E11-890AED1C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DocumentMap"/>
    <w:autoRedefine/>
    <w:rsid w:val="00E73353"/>
    <w:pPr>
      <w:widowControl w:val="0"/>
      <w:jc w:val="both"/>
    </w:pPr>
    <w:rPr>
      <w:rFonts w:eastAsia="SimSun" w:cs="Times New Roman"/>
      <w:kern w:val="2"/>
      <w:sz w:val="24"/>
      <w:szCs w:val="24"/>
      <w:lang w:eastAsia="zh-CN"/>
    </w:rPr>
  </w:style>
  <w:style w:type="paragraph" w:styleId="NormalWeb">
    <w:name w:val="Normal (Web)"/>
    <w:aliases w:val="Normal (Web) Char"/>
    <w:basedOn w:val="Normal"/>
    <w:link w:val="NormalWebChar1"/>
    <w:uiPriority w:val="99"/>
    <w:qFormat/>
    <w:rsid w:val="00E73353"/>
    <w:pPr>
      <w:spacing w:before="100" w:beforeAutospacing="1" w:after="100" w:afterAutospacing="1"/>
    </w:pPr>
  </w:style>
  <w:style w:type="paragraph" w:styleId="DocumentMap">
    <w:name w:val="Document Map"/>
    <w:basedOn w:val="Normal"/>
    <w:semiHidden/>
    <w:rsid w:val="00E73353"/>
    <w:pPr>
      <w:shd w:val="clear" w:color="auto" w:fill="000080"/>
    </w:pPr>
    <w:rPr>
      <w:rFonts w:ascii="Tahoma" w:hAnsi="Tahoma" w:cs="Tahoma"/>
      <w:sz w:val="20"/>
      <w:szCs w:val="20"/>
    </w:rPr>
  </w:style>
  <w:style w:type="paragraph" w:styleId="Footer">
    <w:name w:val="footer"/>
    <w:basedOn w:val="Normal"/>
    <w:link w:val="FooterChar"/>
    <w:uiPriority w:val="99"/>
    <w:rsid w:val="00E36F6A"/>
    <w:pPr>
      <w:tabs>
        <w:tab w:val="center" w:pos="4320"/>
        <w:tab w:val="right" w:pos="8640"/>
      </w:tabs>
    </w:pPr>
  </w:style>
  <w:style w:type="character" w:styleId="PageNumber">
    <w:name w:val="page number"/>
    <w:basedOn w:val="DefaultParagraphFont"/>
    <w:rsid w:val="00E36F6A"/>
  </w:style>
  <w:style w:type="paragraph" w:styleId="Subtitle">
    <w:name w:val="Subtitle"/>
    <w:basedOn w:val="Normal"/>
    <w:link w:val="SubtitleChar"/>
    <w:qFormat/>
    <w:rsid w:val="00E25612"/>
    <w:pPr>
      <w:jc w:val="center"/>
    </w:pPr>
    <w:rPr>
      <w:rFonts w:ascii=".VnTimeH" w:hAnsi=".VnTimeH"/>
      <w:b/>
      <w:sz w:val="28"/>
      <w:szCs w:val="20"/>
    </w:rPr>
  </w:style>
  <w:style w:type="character" w:customStyle="1" w:styleId="SubtitleChar">
    <w:name w:val="Subtitle Char"/>
    <w:link w:val="Subtitle"/>
    <w:rsid w:val="00E25612"/>
    <w:rPr>
      <w:rFonts w:ascii=".VnTimeH" w:hAnsi=".VnTimeH"/>
      <w:b/>
      <w:sz w:val="28"/>
      <w:lang w:val="en-US" w:eastAsia="en-US" w:bidi="ar-SA"/>
    </w:rPr>
  </w:style>
  <w:style w:type="paragraph" w:customStyle="1" w:styleId="dieu">
    <w:name w:val="dieu"/>
    <w:basedOn w:val="Normal"/>
    <w:link w:val="dieuChar"/>
    <w:rsid w:val="00E13029"/>
    <w:pPr>
      <w:spacing w:after="120"/>
      <w:ind w:firstLine="720"/>
    </w:pPr>
    <w:rPr>
      <w:b/>
      <w:color w:val="0000FF"/>
      <w:sz w:val="26"/>
      <w:szCs w:val="20"/>
      <w:lang w:val="x-none" w:eastAsia="x-none"/>
    </w:rPr>
  </w:style>
  <w:style w:type="character" w:customStyle="1" w:styleId="dieuChar">
    <w:name w:val="dieu Char"/>
    <w:link w:val="dieu"/>
    <w:rsid w:val="00E13029"/>
    <w:rPr>
      <w:b/>
      <w:color w:val="0000FF"/>
      <w:sz w:val="26"/>
      <w:lang w:val="x-none" w:eastAsia="x-none"/>
    </w:rPr>
  </w:style>
  <w:style w:type="paragraph" w:styleId="FootnoteText">
    <w:name w:val="footnote text"/>
    <w:basedOn w:val="Normal"/>
    <w:link w:val="FootnoteTextChar"/>
    <w:rsid w:val="00186801"/>
    <w:rPr>
      <w:sz w:val="20"/>
      <w:szCs w:val="20"/>
    </w:rPr>
  </w:style>
  <w:style w:type="character" w:customStyle="1" w:styleId="FootnoteTextChar">
    <w:name w:val="Footnote Text Char"/>
    <w:basedOn w:val="DefaultParagraphFont"/>
    <w:link w:val="FootnoteText"/>
    <w:rsid w:val="00186801"/>
  </w:style>
  <w:style w:type="character" w:styleId="FootnoteReference">
    <w:name w:val="footnote reference"/>
    <w:rsid w:val="00186801"/>
    <w:rPr>
      <w:vertAlign w:val="superscript"/>
    </w:rPr>
  </w:style>
  <w:style w:type="paragraph" w:styleId="Header">
    <w:name w:val="header"/>
    <w:basedOn w:val="Normal"/>
    <w:link w:val="HeaderChar"/>
    <w:uiPriority w:val="99"/>
    <w:rsid w:val="00AE61E6"/>
    <w:pPr>
      <w:tabs>
        <w:tab w:val="center" w:pos="4513"/>
        <w:tab w:val="right" w:pos="9026"/>
      </w:tabs>
    </w:pPr>
  </w:style>
  <w:style w:type="character" w:customStyle="1" w:styleId="HeaderChar">
    <w:name w:val="Header Char"/>
    <w:link w:val="Header"/>
    <w:uiPriority w:val="99"/>
    <w:rsid w:val="00AE61E6"/>
    <w:rPr>
      <w:sz w:val="24"/>
      <w:szCs w:val="24"/>
      <w:lang w:val="en-US" w:eastAsia="en-US"/>
    </w:rPr>
  </w:style>
  <w:style w:type="character" w:customStyle="1" w:styleId="FooterChar">
    <w:name w:val="Footer Char"/>
    <w:link w:val="Footer"/>
    <w:uiPriority w:val="99"/>
    <w:rsid w:val="006E0CC8"/>
    <w:rPr>
      <w:sz w:val="24"/>
      <w:szCs w:val="24"/>
      <w:lang w:val="en-US" w:eastAsia="en-US"/>
    </w:rPr>
  </w:style>
  <w:style w:type="character" w:styleId="Strong">
    <w:name w:val="Strong"/>
    <w:qFormat/>
    <w:rsid w:val="007D1AAB"/>
    <w:rPr>
      <w:b/>
      <w:bCs/>
    </w:rPr>
  </w:style>
  <w:style w:type="paragraph" w:styleId="ListParagraph">
    <w:name w:val="List Paragraph"/>
    <w:basedOn w:val="Normal"/>
    <w:uiPriority w:val="34"/>
    <w:qFormat/>
    <w:rsid w:val="007D1AAB"/>
    <w:pPr>
      <w:spacing w:after="200" w:line="276" w:lineRule="auto"/>
      <w:ind w:left="720"/>
      <w:contextualSpacing/>
    </w:pPr>
    <w:rPr>
      <w:rFonts w:ascii="Calibri" w:eastAsia="Calibri" w:hAnsi="Calibri"/>
      <w:sz w:val="22"/>
      <w:szCs w:val="22"/>
    </w:rPr>
  </w:style>
  <w:style w:type="character" w:styleId="Emphasis">
    <w:name w:val="Emphasis"/>
    <w:qFormat/>
    <w:rsid w:val="00532638"/>
    <w:rPr>
      <w:i/>
      <w:iCs/>
    </w:rPr>
  </w:style>
  <w:style w:type="paragraph" w:customStyle="1" w:styleId="Body1">
    <w:name w:val="Body 1"/>
    <w:basedOn w:val="Normal"/>
    <w:rsid w:val="00532638"/>
    <w:pPr>
      <w:spacing w:before="120"/>
      <w:ind w:firstLine="720"/>
      <w:jc w:val="both"/>
    </w:pPr>
    <w:rPr>
      <w:sz w:val="28"/>
      <w:szCs w:val="28"/>
      <w:lang w:val="da-DK"/>
    </w:rPr>
  </w:style>
  <w:style w:type="character" w:customStyle="1" w:styleId="normal-h">
    <w:name w:val="normal-h"/>
    <w:rsid w:val="00532638"/>
  </w:style>
  <w:style w:type="paragraph" w:styleId="BalloonText">
    <w:name w:val="Balloon Text"/>
    <w:basedOn w:val="Normal"/>
    <w:link w:val="BalloonTextChar"/>
    <w:rsid w:val="000927B1"/>
    <w:rPr>
      <w:rFonts w:ascii="Segoe UI" w:hAnsi="Segoe UI" w:cs="Segoe UI"/>
      <w:sz w:val="18"/>
      <w:szCs w:val="18"/>
    </w:rPr>
  </w:style>
  <w:style w:type="character" w:customStyle="1" w:styleId="BalloonTextChar">
    <w:name w:val="Balloon Text Char"/>
    <w:link w:val="BalloonText"/>
    <w:rsid w:val="000927B1"/>
    <w:rPr>
      <w:rFonts w:ascii="Segoe UI" w:hAnsi="Segoe UI" w:cs="Segoe UI"/>
      <w:sz w:val="18"/>
      <w:szCs w:val="18"/>
    </w:rPr>
  </w:style>
  <w:style w:type="character" w:customStyle="1" w:styleId="NormalWebChar1">
    <w:name w:val="Normal (Web) Char1"/>
    <w:aliases w:val="Normal (Web) Char Char"/>
    <w:link w:val="NormalWeb"/>
    <w:uiPriority w:val="99"/>
    <w:locked/>
    <w:rsid w:val="00B34388"/>
    <w:rPr>
      <w:sz w:val="24"/>
      <w:szCs w:val="24"/>
      <w:lang w:val="en-US" w:eastAsia="en-US"/>
    </w:rPr>
  </w:style>
  <w:style w:type="character" w:customStyle="1" w:styleId="CommentTextChar">
    <w:name w:val="Comment Text Char"/>
    <w:link w:val="CommentText"/>
    <w:rsid w:val="003372C7"/>
  </w:style>
  <w:style w:type="paragraph" w:styleId="CommentText">
    <w:name w:val="annotation text"/>
    <w:basedOn w:val="Normal"/>
    <w:link w:val="CommentTextChar"/>
    <w:unhideWhenUsed/>
    <w:rsid w:val="003372C7"/>
    <w:pPr>
      <w:spacing w:after="200"/>
    </w:pPr>
    <w:rPr>
      <w:sz w:val="20"/>
      <w:szCs w:val="20"/>
      <w:lang w:val="vi-VN" w:eastAsia="vi-VN"/>
    </w:rPr>
  </w:style>
  <w:style w:type="character" w:customStyle="1" w:styleId="CommentTextChar1">
    <w:name w:val="Comment Text Char1"/>
    <w:basedOn w:val="DefaultParagraphFont"/>
    <w:rsid w:val="003372C7"/>
    <w:rPr>
      <w:lang w:val="en-US" w:eastAsia="en-US"/>
    </w:rPr>
  </w:style>
  <w:style w:type="character" w:styleId="CommentReference">
    <w:name w:val="annotation reference"/>
    <w:basedOn w:val="DefaultParagraphFont"/>
    <w:rsid w:val="003372C7"/>
    <w:rPr>
      <w:sz w:val="16"/>
      <w:szCs w:val="16"/>
    </w:rPr>
  </w:style>
  <w:style w:type="paragraph" w:styleId="CommentSubject">
    <w:name w:val="annotation subject"/>
    <w:basedOn w:val="CommentText"/>
    <w:next w:val="CommentText"/>
    <w:link w:val="CommentSubjectChar"/>
    <w:rsid w:val="003372C7"/>
    <w:pPr>
      <w:spacing w:after="0"/>
    </w:pPr>
    <w:rPr>
      <w:b/>
      <w:bCs/>
      <w:lang w:val="en-US" w:eastAsia="en-US"/>
    </w:rPr>
  </w:style>
  <w:style w:type="character" w:customStyle="1" w:styleId="CommentSubjectChar">
    <w:name w:val="Comment Subject Char"/>
    <w:basedOn w:val="CommentTextChar"/>
    <w:link w:val="CommentSubject"/>
    <w:rsid w:val="003372C7"/>
    <w:rPr>
      <w:b/>
      <w:bCs/>
      <w:lang w:val="en-US" w:eastAsia="en-US"/>
    </w:rPr>
  </w:style>
  <w:style w:type="character" w:styleId="PlaceholderText">
    <w:name w:val="Placeholder Text"/>
    <w:basedOn w:val="DefaultParagraphFont"/>
    <w:uiPriority w:val="99"/>
    <w:semiHidden/>
    <w:rsid w:val="00727C0D"/>
    <w:rPr>
      <w:color w:val="808080"/>
    </w:rPr>
  </w:style>
  <w:style w:type="paragraph" w:customStyle="1" w:styleId="Style1">
    <w:name w:val="Style1"/>
    <w:basedOn w:val="Normal"/>
    <w:qFormat/>
    <w:rsid w:val="007771E0"/>
    <w:pPr>
      <w:spacing w:before="120" w:after="120" w:line="288" w:lineRule="auto"/>
      <w:ind w:firstLine="720"/>
      <w:jc w:val="both"/>
    </w:pPr>
    <w:rPr>
      <w:rFonts w:eastAsia="Batang"/>
      <w:sz w:val="28"/>
      <w:szCs w:val="28"/>
      <w:lang w:val="vi-VN" w:eastAsia="ko-KR"/>
    </w:rPr>
  </w:style>
  <w:style w:type="character" w:styleId="Hyperlink">
    <w:name w:val="Hyperlink"/>
    <w:basedOn w:val="DefaultParagraphFont"/>
    <w:uiPriority w:val="99"/>
    <w:unhideWhenUsed/>
    <w:rsid w:val="001450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40809">
      <w:bodyDiv w:val="1"/>
      <w:marLeft w:val="0"/>
      <w:marRight w:val="0"/>
      <w:marTop w:val="0"/>
      <w:marBottom w:val="0"/>
      <w:divBdr>
        <w:top w:val="none" w:sz="0" w:space="0" w:color="auto"/>
        <w:left w:val="none" w:sz="0" w:space="0" w:color="auto"/>
        <w:bottom w:val="none" w:sz="0" w:space="0" w:color="auto"/>
        <w:right w:val="none" w:sz="0" w:space="0" w:color="auto"/>
      </w:divBdr>
    </w:div>
    <w:div w:id="842282271">
      <w:bodyDiv w:val="1"/>
      <w:marLeft w:val="0"/>
      <w:marRight w:val="0"/>
      <w:marTop w:val="0"/>
      <w:marBottom w:val="0"/>
      <w:divBdr>
        <w:top w:val="none" w:sz="0" w:space="0" w:color="auto"/>
        <w:left w:val="none" w:sz="0" w:space="0" w:color="auto"/>
        <w:bottom w:val="none" w:sz="0" w:space="0" w:color="auto"/>
        <w:right w:val="none" w:sz="0" w:space="0" w:color="auto"/>
      </w:divBdr>
    </w:div>
    <w:div w:id="1113594904">
      <w:bodyDiv w:val="1"/>
      <w:marLeft w:val="0"/>
      <w:marRight w:val="0"/>
      <w:marTop w:val="0"/>
      <w:marBottom w:val="0"/>
      <w:divBdr>
        <w:top w:val="none" w:sz="0" w:space="0" w:color="auto"/>
        <w:left w:val="none" w:sz="0" w:space="0" w:color="auto"/>
        <w:bottom w:val="none" w:sz="0" w:space="0" w:color="auto"/>
        <w:right w:val="none" w:sz="0" w:space="0" w:color="auto"/>
      </w:divBdr>
    </w:div>
    <w:div w:id="1543781759">
      <w:bodyDiv w:val="1"/>
      <w:marLeft w:val="0"/>
      <w:marRight w:val="0"/>
      <w:marTop w:val="0"/>
      <w:marBottom w:val="0"/>
      <w:divBdr>
        <w:top w:val="none" w:sz="0" w:space="0" w:color="auto"/>
        <w:left w:val="none" w:sz="0" w:space="0" w:color="auto"/>
        <w:bottom w:val="none" w:sz="0" w:space="0" w:color="auto"/>
        <w:right w:val="none" w:sz="0" w:space="0" w:color="auto"/>
      </w:divBdr>
    </w:div>
    <w:div w:id="1583179343">
      <w:bodyDiv w:val="1"/>
      <w:marLeft w:val="0"/>
      <w:marRight w:val="0"/>
      <w:marTop w:val="0"/>
      <w:marBottom w:val="0"/>
      <w:divBdr>
        <w:top w:val="none" w:sz="0" w:space="0" w:color="auto"/>
        <w:left w:val="none" w:sz="0" w:space="0" w:color="auto"/>
        <w:bottom w:val="none" w:sz="0" w:space="0" w:color="auto"/>
        <w:right w:val="none" w:sz="0" w:space="0" w:color="auto"/>
      </w:divBdr>
    </w:div>
    <w:div w:id="1665623765">
      <w:bodyDiv w:val="1"/>
      <w:marLeft w:val="0"/>
      <w:marRight w:val="0"/>
      <w:marTop w:val="0"/>
      <w:marBottom w:val="0"/>
      <w:divBdr>
        <w:top w:val="none" w:sz="0" w:space="0" w:color="auto"/>
        <w:left w:val="none" w:sz="0" w:space="0" w:color="auto"/>
        <w:bottom w:val="none" w:sz="0" w:space="0" w:color="auto"/>
        <w:right w:val="none" w:sz="0" w:space="0" w:color="auto"/>
      </w:divBdr>
    </w:div>
    <w:div w:id="191767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3D558-DF8A-4C0F-B04A-A70E62937E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1AB48C-93B6-4A45-A076-3BF942D4A7C5}">
  <ds:schemaRefs>
    <ds:schemaRef ds:uri="http://schemas.microsoft.com/sharepoint/v3/contenttype/forms"/>
  </ds:schemaRefs>
</ds:datastoreItem>
</file>

<file path=customXml/itemProps3.xml><?xml version="1.0" encoding="utf-8"?>
<ds:datastoreItem xmlns:ds="http://schemas.openxmlformats.org/officeDocument/2006/customXml" ds:itemID="{4BA24483-2E44-420D-A9AF-CF33CAD82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04A9F4F-CB2E-44A4-9045-C10E4280F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4692</Words>
  <Characters>26750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BÁO CÁO ĐÁNH GIÁ TÁC ĐỘNG THỦ TỤC HÀNH CHÍNH</vt:lpstr>
    </vt:vector>
  </TitlesOfParts>
  <Company>None</Company>
  <LinksUpToDate>false</LinksUpToDate>
  <CharactersWithSpaces>31380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THỦ TỤC HÀNH CHÍNH</dc:title>
  <dc:subject/>
  <dc:creator>None</dc:creator>
  <cp:keywords/>
  <cp:lastModifiedBy>Admin</cp:lastModifiedBy>
  <cp:revision>2</cp:revision>
  <cp:lastPrinted>2024-07-19T08:17:00Z</cp:lastPrinted>
  <dcterms:created xsi:type="dcterms:W3CDTF">2024-07-23T02:37:00Z</dcterms:created>
  <dcterms:modified xsi:type="dcterms:W3CDTF">2024-07-23T02:37:00Z</dcterms:modified>
</cp:coreProperties>
</file>